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bidi w:val="1"/>
      </w:pPr>
      <w:r>
        <w:t>لسان القرآن — الحزمة الشاملة المتكاملة v1.0.1</w:t>
      </w:r>
    </w:p>
    <w:p>
      <w:pPr>
        <w:jc w:val="center"/>
        <w:bidi w:val="1"/>
      </w:pPr>
      <w:r>
        <w:rPr>
          <w:b/>
          <w:sz w:val="30"/>
        </w:rPr>
        <w:t>دلتا تثبيت مبدأ وحدة معنى الجذر وحضوره الشامل</w:t>
      </w:r>
    </w:p>
    <w:p>
      <w:pPr>
        <w:jc w:val="center"/>
        <w:bidi w:val="1"/>
      </w:pPr>
      <w:r>
        <w:t>إصدار صيانة محافظ فوق v1.0.0 — لا يعيد بناء V2.1 ولا يغيّر المواد غير المرتبطة</w:t>
      </w:r>
    </w:p>
    <w:p/>
    <w:p>
      <w:pPr>
        <w:jc w:val="center"/>
        <w:bidi w:val="1"/>
      </w:pPr>
      <w:r>
        <w:rPr>
          <w:b/>
        </w:rPr>
        <w:t xml:space="preserve">الحكم الحالي: </w:t>
      </w:r>
      <w:r>
        <w:rPr>
          <w:rFonts w:ascii="DejaVu Sans Mono" w:hAnsi="DejaVu Sans Mono"/>
        </w:rPr>
        <w:t>ROOT_SEMANTIC_UNITY = NON_NEGOTIABLE</w:t>
      </w:r>
    </w:p>
    <w:p>
      <w:r>
        <w:br w:type="page"/>
      </w:r>
    </w:p>
    <w:p>
      <w:pPr>
        <w:pStyle w:val="Heading1"/>
        <w:jc w:val="right"/>
        <w:bidi w:val="1"/>
      </w:pPr>
      <w:r>
        <w:t>1. ما الذي ثُبّت في هذا الإصدار؟</w:t>
      </w:r>
    </w:p>
    <w:p>
      <w:pPr>
        <w:jc w:val="right"/>
        <w:bidi w:val="1"/>
      </w:pPr>
      <w:r>
        <w:t>• إذا ثبت أن مجموعة الألفاظ والمواضع ترجع حقيقةً إلى جذر واحد، فلا بد أن يكون لذلك الجذر معنى ثابت جامع يظهر أثره في جميع المواضع والمشتقات الثابتة الانتماء إليه.</w:t>
      </w:r>
    </w:p>
    <w:p>
      <w:pPr>
        <w:jc w:val="right"/>
        <w:bidi w:val="1"/>
      </w:pPr>
      <w:r>
        <w:t>• اختلاف المعنى الموضعي لا يبرر إنشاء معانٍ جذريّة مستقلة؛ يُبحث أولًا في التصريف والاشتقاق والصيغة والتركيب والعلاقات والسياق.</w:t>
      </w:r>
    </w:p>
    <w:p>
      <w:pPr>
        <w:jc w:val="right"/>
        <w:bidi w:val="1"/>
      </w:pPr>
      <w:r>
        <w:t>• العجز عن كشف الجامع لا يثبت عدم وجوده؛ تبقى النتيجة غير محسومة أو غير مكتملة، أو تعاد مراجعة نسبة المواضع والفصل بين الطبقات.</w:t>
      </w:r>
    </w:p>
    <w:p>
      <w:pPr>
        <w:jc w:val="right"/>
        <w:bidi w:val="1"/>
      </w:pPr>
      <w:r>
        <w:t>• لا تقبل أغلبية إحصائية بدل الشمول إذا كان الادعاء هو معنى الجذر الجامع.</w:t>
      </w:r>
    </w:p>
    <w:p>
      <w:pPr>
        <w:jc w:val="right"/>
        <w:bidi w:val="1"/>
      </w:pPr>
      <w:r>
        <w:t>• قول أي عالم أو معجم لا يملك سلطة تغيير هذا المبدأ؛ المصدر الخارجي يولد فرضية أو اختبارًا أو اعتراضًا فقط.</w:t>
      </w:r>
    </w:p>
    <w:p>
      <w:pPr>
        <w:jc w:val="right"/>
        <w:bidi w:val="1"/>
      </w:pPr>
      <w:r>
        <w:t>• إذا ثبت بدليل مستقل أن ما جُمع تحت صورة واحدة ليس أصلًا اشتقاقيًا واحدًا، فذلك تصحيح لوحدة التحليل لا استثناء من مبدأ وحدة معنى الجذر.</w:t>
      </w:r>
    </w:p>
    <w:p>
      <w:pPr>
        <w:pStyle w:val="Heading1"/>
        <w:jc w:val="right"/>
        <w:bidi w:val="1"/>
      </w:pPr>
      <w:r>
        <w:t>2. المبرر المنهجي</w:t>
      </w:r>
    </w:p>
    <w:p>
      <w:pPr>
        <w:jc w:val="right"/>
        <w:bidi w:val="1"/>
      </w:pPr>
      <w:r>
        <w:t>ينطلق المشروع من التعامل الجاد مع كون القرآن عربيًا مبينًا، قابلًا للتعقل، غير ذي عوج، ومتسقًا لا اختلاف كثير فيه. وبناءً على ذلك يتخذ المشروع انتظام الأصل وفروعه وقابلية استقرائه مبدأً منهجيًا حاكمًا. هذه ليست دعوى أن آية ما تنص حرفيًا على «لكل جذر معنى واحد جامع»، بل استنباط منهجي معلن داخل المشروع.</w:t>
      </w:r>
    </w:p>
    <w:p>
      <w:pPr>
        <w:jc w:val="right"/>
        <w:bidi w:val="1"/>
      </w:pPr>
      <w:r>
        <w:rPr>
          <w:b/>
        </w:rPr>
        <w:t xml:space="preserve">الحماية من الاستدلال الدائري: </w:t>
      </w:r>
      <w:r>
        <w:t>ثبوت الاتساق لا يثبت صحة فرضيتنا؛ الموضع المعارض يعيد فتح الفرضية ولا يُجبر على موافقتها.</w:t>
      </w:r>
    </w:p>
    <w:p>
      <w:r>
        <w:br w:type="page"/>
      </w:r>
    </w:p>
    <w:p>
      <w:pPr>
        <w:pStyle w:val="Heading1"/>
        <w:jc w:val="right"/>
        <w:bidi w:val="1"/>
      </w:pPr>
      <w:r>
        <w:t>3. النتائج التنفيذية الملزمة</w:t>
      </w:r>
    </w:p>
    <w:tbl>
      <w:tblPr>
        <w:tblStyle w:val="TableGrid"/>
        <w:tblW w:type="auto" w:w="0"/>
        <w:jc w:val="center"/>
        <w:tblLook w:firstColumn="1" w:firstRow="1" w:lastColumn="0" w:lastRow="0" w:noHBand="0" w:noVBand="1" w:val="04A0"/>
      </w:tblPr>
      <w:tblGrid>
        <w:gridCol w:w="3475"/>
        <w:gridCol w:w="3475"/>
        <w:gridCol w:w="3475"/>
      </w:tblGrid>
      <w:tr>
        <w:tc>
          <w:tcPr>
            <w:tcW w:type="dxa" w:w="3475"/>
            <w:shd w:fill="D8EAF3"/>
            <w:vAlign w:val="center"/>
          </w:tcPr>
          <w:p>
            <w:pPr>
              <w:jc w:val="right"/>
              <w:bidi w:val="1"/>
            </w:pPr>
            <w:r>
              <w:rPr>
                <w:b/>
              </w:rPr>
              <w:t>الحالة</w:t>
            </w:r>
          </w:p>
        </w:tc>
        <w:tc>
          <w:tcPr>
            <w:tcW w:type="dxa" w:w="3475"/>
            <w:shd w:fill="D8EAF3"/>
            <w:vAlign w:val="center"/>
          </w:tcPr>
          <w:p>
            <w:pPr>
              <w:jc w:val="right"/>
              <w:bidi w:val="1"/>
            </w:pPr>
            <w:r>
              <w:rPr>
                <w:b/>
              </w:rPr>
              <w:t>الحكم</w:t>
            </w:r>
          </w:p>
        </w:tc>
        <w:tc>
          <w:tcPr>
            <w:tcW w:type="dxa" w:w="3475"/>
            <w:shd w:fill="D8EAF3"/>
            <w:vAlign w:val="center"/>
          </w:tcPr>
          <w:p>
            <w:pPr>
              <w:jc w:val="right"/>
              <w:bidi w:val="1"/>
            </w:pPr>
            <w:r>
              <w:rPr>
                <w:b/>
              </w:rPr>
              <w:t>الأثر</w:t>
            </w:r>
          </w:p>
        </w:tc>
      </w:tr>
      <w:tr>
        <w:tc>
          <w:tcPr>
            <w:tcW w:type="dxa" w:w="3475"/>
            <w:vAlign w:val="center"/>
          </w:tcPr>
          <w:p>
            <w:pPr>
              <w:jc w:val="right"/>
              <w:bidi w:val="1"/>
            </w:pPr>
            <w:r>
              <w:t>كل المواضع الثابتة يفسرها الجامع</w:t>
            </w:r>
          </w:p>
        </w:tc>
        <w:tc>
          <w:tcPr>
            <w:tcW w:type="dxa" w:w="3475"/>
            <w:vAlign w:val="center"/>
          </w:tcPr>
          <w:p>
            <w:pPr>
              <w:jc w:val="right"/>
              <w:bidi w:val="1"/>
            </w:pPr>
            <w:r>
              <w:t>يمكن متابعة بقية اختبارات القبول</w:t>
            </w:r>
          </w:p>
        </w:tc>
        <w:tc>
          <w:tcPr>
            <w:tcW w:type="dxa" w:w="3475"/>
            <w:vAlign w:val="center"/>
          </w:tcPr>
          <w:p>
            <w:pPr>
              <w:jc w:val="right"/>
              <w:bidi w:val="1"/>
            </w:pPr>
            <w:r>
              <w:t>الشمول شرط لازم وليس كافيًا</w:t>
            </w:r>
          </w:p>
        </w:tc>
      </w:tr>
      <w:tr>
        <w:tc>
          <w:tcPr>
            <w:tcW w:type="dxa" w:w="3475"/>
            <w:vAlign w:val="center"/>
          </w:tcPr>
          <w:p>
            <w:pPr>
              <w:jc w:val="right"/>
              <w:bidi w:val="1"/>
            </w:pPr>
            <w:r>
              <w:t>موضع ثابت واحد يعارض الجامع</w:t>
            </w:r>
          </w:p>
        </w:tc>
        <w:tc>
          <w:tcPr>
            <w:tcW w:type="dxa" w:w="3475"/>
            <w:vAlign w:val="center"/>
          </w:tcPr>
          <w:p>
            <w:pPr>
              <w:jc w:val="right"/>
              <w:bidi w:val="1"/>
            </w:pPr>
            <w:r>
              <w:t>لا اعتماد للمفهوم الحالي</w:t>
            </w:r>
          </w:p>
        </w:tc>
        <w:tc>
          <w:tcPr>
            <w:tcW w:type="dxa" w:w="3475"/>
            <w:vAlign w:val="center"/>
          </w:tcPr>
          <w:p>
            <w:pPr>
              <w:jc w:val="right"/>
              <w:bidi w:val="1"/>
            </w:pPr>
            <w:r>
              <w:t>إعادة فتح الفرضية وفحص الفصل الطبقي</w:t>
            </w:r>
          </w:p>
        </w:tc>
      </w:tr>
      <w:tr>
        <w:tc>
          <w:tcPr>
            <w:tcW w:type="dxa" w:w="3475"/>
            <w:vAlign w:val="center"/>
          </w:tcPr>
          <w:p>
            <w:pPr>
              <w:jc w:val="right"/>
              <w:bidi w:val="1"/>
            </w:pPr>
            <w:r>
              <w:t>موضع غير محسوم في نسبة الجذر</w:t>
            </w:r>
          </w:p>
        </w:tc>
        <w:tc>
          <w:tcPr>
            <w:tcW w:type="dxa" w:w="3475"/>
            <w:vAlign w:val="center"/>
          </w:tcPr>
          <w:p>
            <w:pPr>
              <w:jc w:val="right"/>
              <w:bidi w:val="1"/>
            </w:pPr>
            <w:r>
              <w:t>لا ادعاء اكتمال</w:t>
            </w:r>
          </w:p>
        </w:tc>
        <w:tc>
          <w:tcPr>
            <w:tcW w:type="dxa" w:w="3475"/>
            <w:vAlign w:val="center"/>
          </w:tcPr>
          <w:p>
            <w:pPr>
              <w:jc w:val="right"/>
              <w:bidi w:val="1"/>
            </w:pPr>
            <w:r>
              <w:t>مراجعة نسبة الجذر أو إبقاء النتيجة غير محسومة</w:t>
            </w:r>
          </w:p>
        </w:tc>
      </w:tr>
      <w:tr>
        <w:tc>
          <w:tcPr>
            <w:tcW w:type="dxa" w:w="3475"/>
            <w:vAlign w:val="center"/>
          </w:tcPr>
          <w:p>
            <w:pPr>
              <w:jc w:val="right"/>
              <w:bidi w:val="1"/>
            </w:pPr>
            <w:r>
              <w:t>99/100 موضع</w:t>
            </w:r>
          </w:p>
        </w:tc>
        <w:tc>
          <w:tcPr>
            <w:tcW w:type="dxa" w:w="3475"/>
            <w:vAlign w:val="center"/>
          </w:tcPr>
          <w:p>
            <w:pPr>
              <w:jc w:val="right"/>
              <w:bidi w:val="1"/>
            </w:pPr>
            <w:r>
              <w:t>غير كافٍ</w:t>
            </w:r>
          </w:p>
        </w:tc>
        <w:tc>
          <w:tcPr>
            <w:tcW w:type="dxa" w:w="3475"/>
            <w:vAlign w:val="center"/>
          </w:tcPr>
          <w:p>
            <w:pPr>
              <w:jc w:val="right"/>
              <w:bidi w:val="1"/>
            </w:pPr>
            <w:r>
              <w:t>الأغلبية ليست بديلًا عن الشمول</w:t>
            </w:r>
          </w:p>
        </w:tc>
      </w:tr>
      <w:tr>
        <w:tc>
          <w:tcPr>
            <w:tcW w:type="dxa" w:w="3475"/>
            <w:vAlign w:val="center"/>
          </w:tcPr>
          <w:p>
            <w:pPr>
              <w:jc w:val="right"/>
              <w:bidi w:val="1"/>
            </w:pPr>
            <w:r>
              <w:t>فشلنا في العثور على الجامع</w:t>
            </w:r>
          </w:p>
        </w:tc>
        <w:tc>
          <w:tcPr>
            <w:tcW w:type="dxa" w:w="3475"/>
            <w:vAlign w:val="center"/>
          </w:tcPr>
          <w:p>
            <w:pPr>
              <w:jc w:val="right"/>
              <w:bidi w:val="1"/>
            </w:pPr>
            <w:r>
              <w:t>لا نقول “لا جامع” كحكم نهائي</w:t>
            </w:r>
          </w:p>
        </w:tc>
        <w:tc>
          <w:tcPr>
            <w:tcW w:type="dxa" w:w="3475"/>
            <w:vAlign w:val="center"/>
          </w:tcPr>
          <w:p>
            <w:pPr>
              <w:jc w:val="right"/>
              <w:bidi w:val="1"/>
            </w:pPr>
            <w:r>
              <w:t>البحث غير محسوم أو غير مكتمل</w:t>
            </w:r>
          </w:p>
        </w:tc>
      </w:tr>
      <w:tr>
        <w:tc>
          <w:tcPr>
            <w:tcW w:type="dxa" w:w="3475"/>
            <w:vAlign w:val="center"/>
          </w:tcPr>
          <w:p>
            <w:pPr>
              <w:jc w:val="right"/>
              <w:bidi w:val="1"/>
            </w:pPr>
            <w:r>
              <w:t>ثبت أصلان اشتقاقيان مستقلان</w:t>
            </w:r>
          </w:p>
        </w:tc>
        <w:tc>
          <w:tcPr>
            <w:tcW w:type="dxa" w:w="3475"/>
            <w:vAlign w:val="center"/>
          </w:tcPr>
          <w:p>
            <w:pPr>
              <w:jc w:val="right"/>
              <w:bidi w:val="1"/>
            </w:pPr>
            <w:r>
              <w:t>تفصل وحدة التحليل</w:t>
            </w:r>
          </w:p>
        </w:tc>
        <w:tc>
          <w:tcPr>
            <w:tcW w:type="dxa" w:w="3475"/>
            <w:vAlign w:val="center"/>
          </w:tcPr>
          <w:p>
            <w:pPr>
              <w:jc w:val="right"/>
              <w:bidi w:val="1"/>
            </w:pPr>
            <w:r>
              <w:t>يطبق شرط الجامع على كل أصل مستقل</w:t>
            </w:r>
          </w:p>
        </w:tc>
      </w:tr>
    </w:tbl>
    <w:p>
      <w:pPr>
        <w:pStyle w:val="Heading1"/>
        <w:jc w:val="right"/>
        <w:bidi w:val="1"/>
      </w:pPr>
      <w:r>
        <w:t>4. ما الذي لم يتغير؟</w:t>
      </w:r>
    </w:p>
    <w:p>
      <w:pPr>
        <w:jc w:val="right"/>
        <w:bidi w:val="1"/>
      </w:pPr>
      <w:r>
        <w:t>• V2.1 محفوظة حرفيًا داخل 01_CANONICAL_BASE ولا تعدل في مكانها.</w:t>
      </w:r>
    </w:p>
    <w:p>
      <w:pPr>
        <w:jc w:val="right"/>
        <w:bidi w:val="1"/>
      </w:pPr>
      <w:r>
        <w:t>• المصادر الخارجية بقيت أدوات فرضيات واختبار وليست سلطة معرفية حاكمة.</w:t>
      </w:r>
    </w:p>
    <w:p>
      <w:pPr>
        <w:jc w:val="right"/>
        <w:bidi w:val="1"/>
      </w:pPr>
      <w:r>
        <w:t>• عدم الحسم ما زال نتيجة مشروعة؛ الذي أُلغي هو استخدامه لتبرير معانٍ جذريّة اعتباطية مستقلة لجذر واحد ثابت.</w:t>
      </w:r>
    </w:p>
    <w:p>
      <w:pPr>
        <w:jc w:val="right"/>
        <w:bidi w:val="1"/>
      </w:pPr>
      <w:r>
        <w:t>• الشمول لا يلغي شرط التمييز والدحض وعدم الفراغ.</w:t>
      </w:r>
    </w:p>
    <w:p>
      <w:pPr>
        <w:jc w:val="right"/>
        <w:bidi w:val="1"/>
      </w:pPr>
      <w:r>
        <w:t>• المقترحات المفتوحة الأخرى — مثل Full dual-lane الدائم أو P1..P8 — لم تُعتمد بهذا الإصدار.</w:t>
      </w:r>
    </w:p>
    <w:p>
      <w:r>
        <w:br w:type="page"/>
      </w:r>
    </w:p>
    <w:p>
      <w:pPr>
        <w:pStyle w:val="Heading1"/>
        <w:jc w:val="right"/>
        <w:bidi w:val="1"/>
      </w:pPr>
      <w:r>
        <w:t>5. ملفات السلطة والتتبع المضافة أو المحدثة</w:t>
      </w:r>
    </w:p>
    <w:tbl>
      <w:tblPr>
        <w:tblStyle w:val="TableGrid"/>
        <w:tblW w:type="auto" w:w="0"/>
        <w:jc w:val="center"/>
        <w:tblLook w:firstColumn="1" w:firstRow="1" w:lastColumn="0" w:lastRow="0" w:noHBand="0" w:noVBand="1" w:val="04A0"/>
      </w:tblPr>
      <w:tblGrid>
        <w:gridCol w:w="5213"/>
        <w:gridCol w:w="5213"/>
      </w:tblGrid>
      <w:tr>
        <w:tc>
          <w:tcPr>
            <w:tcW w:type="dxa" w:w="5213"/>
            <w:shd w:fill="D8EAF3"/>
            <w:vAlign w:val="center"/>
          </w:tcPr>
          <w:p>
            <w:pPr>
              <w:jc w:val="right"/>
              <w:bidi w:val="1"/>
            </w:pPr>
            <w:r>
              <w:rPr>
                <w:b/>
              </w:rPr>
              <w:t>الملف</w:t>
            </w:r>
          </w:p>
        </w:tc>
        <w:tc>
          <w:tcPr>
            <w:tcW w:type="dxa" w:w="5213"/>
            <w:shd w:fill="D8EAF3"/>
            <w:vAlign w:val="center"/>
          </w:tcPr>
          <w:p>
            <w:pPr>
              <w:jc w:val="right"/>
              <w:bidi w:val="1"/>
            </w:pPr>
            <w:r>
              <w:rPr>
                <w:b/>
              </w:rPr>
              <w:t>الدور</w:t>
            </w:r>
          </w:p>
        </w:tc>
      </w:tr>
      <w:tr>
        <w:tc>
          <w:tcPr>
            <w:tcW w:type="dxa" w:w="5213"/>
            <w:vAlign w:val="center"/>
          </w:tcPr>
          <w:p>
            <w:pPr>
              <w:jc w:val="left"/>
            </w:pPr>
            <w:r>
              <w:rPr>
                <w:rFonts w:ascii="DejaVu Sans Mono" w:hAnsi="DejaVu Sans Mono"/>
                <w:sz w:val="17"/>
              </w:rPr>
              <w:t>06_ROOT_SEMANTIC_UNITY_NON_NEGOTIABLE.md</w:t>
            </w:r>
          </w:p>
        </w:tc>
        <w:tc>
          <w:tcPr>
            <w:tcW w:type="dxa" w:w="5213"/>
            <w:vAlign w:val="center"/>
          </w:tcPr>
          <w:p>
            <w:pPr>
              <w:jc w:val="right"/>
              <w:bidi w:val="1"/>
            </w:pPr>
            <w:r>
              <w:t>النص السلطوي المفصل للمبدأ.</w:t>
            </w:r>
          </w:p>
        </w:tc>
      </w:tr>
      <w:tr>
        <w:tc>
          <w:tcPr>
            <w:tcW w:type="dxa" w:w="5213"/>
            <w:vAlign w:val="center"/>
          </w:tcPr>
          <w:p>
            <w:pPr>
              <w:jc w:val="left"/>
            </w:pPr>
            <w:r>
              <w:rPr>
                <w:rFonts w:ascii="DejaVu Sans Mono" w:hAnsi="DejaVu Sans Mono"/>
                <w:sz w:val="17"/>
              </w:rPr>
              <w:t>00_POST_V2_1_OWNER_DIRECTIVES.md</w:t>
            </w:r>
          </w:p>
        </w:tc>
        <w:tc>
          <w:tcPr>
            <w:tcW w:type="dxa" w:w="5213"/>
            <w:vAlign w:val="center"/>
          </w:tcPr>
          <w:p>
            <w:pPr>
              <w:jc w:val="right"/>
              <w:bidi w:val="1"/>
            </w:pPr>
            <w:r>
              <w:t>إضافة توجيه المالك INT-OWN-ROOT-002.</w:t>
            </w:r>
          </w:p>
        </w:tc>
      </w:tr>
      <w:tr>
        <w:tc>
          <w:tcPr>
            <w:tcW w:type="dxa" w:w="5213"/>
            <w:vAlign w:val="center"/>
          </w:tcPr>
          <w:p>
            <w:pPr>
              <w:jc w:val="left"/>
            </w:pPr>
            <w:r>
              <w:rPr>
                <w:rFonts w:ascii="DejaVu Sans Mono" w:hAnsi="DejaVu Sans Mono"/>
                <w:sz w:val="17"/>
              </w:rPr>
              <w:t>MASTER_POST_V2_1_INTAKE.csv</w:t>
            </w:r>
          </w:p>
        </w:tc>
        <w:tc>
          <w:tcPr>
            <w:tcW w:type="dxa" w:w="5213"/>
            <w:vAlign w:val="center"/>
          </w:tcPr>
          <w:p>
            <w:pPr>
              <w:jc w:val="right"/>
              <w:bidi w:val="1"/>
            </w:pPr>
            <w:r>
              <w:t>تسجيل موافقة المالك الحالية.</w:t>
            </w:r>
          </w:p>
        </w:tc>
      </w:tr>
      <w:tr>
        <w:tc>
          <w:tcPr>
            <w:tcW w:type="dxa" w:w="5213"/>
            <w:vAlign w:val="center"/>
          </w:tcPr>
          <w:p>
            <w:pPr>
              <w:jc w:val="left"/>
            </w:pPr>
            <w:r>
              <w:rPr>
                <w:rFonts w:ascii="DejaVu Sans Mono" w:hAnsi="DejaVu Sans Mono"/>
                <w:sz w:val="17"/>
              </w:rPr>
              <w:t>MASTER_SUPERSESSION_MAP.csv</w:t>
            </w:r>
          </w:p>
        </w:tc>
        <w:tc>
          <w:tcPr>
            <w:tcW w:type="dxa" w:w="5213"/>
            <w:vAlign w:val="center"/>
          </w:tcPr>
          <w:p>
            <w:pPr>
              <w:jc w:val="right"/>
              <w:bidi w:val="1"/>
            </w:pPr>
            <w:r>
              <w:t>تثبيت تجاوز أي قراءة مرنة للمبدأ.</w:t>
            </w:r>
          </w:p>
        </w:tc>
      </w:tr>
      <w:tr>
        <w:tc>
          <w:tcPr>
            <w:tcW w:type="dxa" w:w="5213"/>
            <w:vAlign w:val="center"/>
          </w:tcPr>
          <w:p>
            <w:pPr>
              <w:jc w:val="left"/>
            </w:pPr>
            <w:r>
              <w:rPr>
                <w:rFonts w:ascii="DejaVu Sans Mono" w:hAnsi="DejaVu Sans Mono"/>
                <w:sz w:val="17"/>
              </w:rPr>
              <w:t>CURRENT_LISAN_METHODOLOGY_PROMPT.md</w:t>
            </w:r>
          </w:p>
        </w:tc>
        <w:tc>
          <w:tcPr>
            <w:tcW w:type="dxa" w:w="5213"/>
            <w:vAlign w:val="center"/>
          </w:tcPr>
          <w:p>
            <w:pPr>
              <w:jc w:val="right"/>
              <w:bidi w:val="1"/>
            </w:pPr>
            <w:r>
              <w:t>رفع المبدأ إلى Non-negotiable.</w:t>
            </w:r>
          </w:p>
        </w:tc>
      </w:tr>
      <w:tr>
        <w:tc>
          <w:tcPr>
            <w:tcW w:type="dxa" w:w="5213"/>
            <w:vAlign w:val="center"/>
          </w:tcPr>
          <w:p>
            <w:pPr>
              <w:jc w:val="left"/>
            </w:pPr>
            <w:r>
              <w:rPr>
                <w:rFonts w:ascii="DejaVu Sans Mono" w:hAnsi="DejaVu Sans Mono"/>
                <w:sz w:val="17"/>
              </w:rPr>
              <w:t>CURRENT_SEMANTIC_CAMPAIGN_PROMPT.md</w:t>
            </w:r>
          </w:p>
        </w:tc>
        <w:tc>
          <w:tcPr>
            <w:tcW w:type="dxa" w:w="5213"/>
            <w:vAlign w:val="center"/>
          </w:tcPr>
          <w:p>
            <w:pPr>
              <w:jc w:val="right"/>
              <w:bidi w:val="1"/>
            </w:pPr>
            <w:r>
              <w:t>تطبيق الحكم نفسه على الحملة.</w:t>
            </w:r>
          </w:p>
        </w:tc>
      </w:tr>
      <w:tr>
        <w:tc>
          <w:tcPr>
            <w:tcW w:type="dxa" w:w="5213"/>
            <w:vAlign w:val="center"/>
          </w:tcPr>
          <w:p>
            <w:pPr>
              <w:jc w:val="left"/>
            </w:pPr>
            <w:r>
              <w:rPr>
                <w:rFonts w:ascii="DejaVu Sans Mono" w:hAnsi="DejaVu Sans Mono"/>
                <w:sz w:val="17"/>
              </w:rPr>
              <w:t>MASTER_TEST_CATALOG.csv</w:t>
            </w:r>
          </w:p>
        </w:tc>
        <w:tc>
          <w:tcPr>
            <w:tcW w:type="dxa" w:w="5213"/>
            <w:vAlign w:val="center"/>
          </w:tcPr>
          <w:p>
            <w:pPr>
              <w:jc w:val="right"/>
              <w:bidi w:val="1"/>
            </w:pPr>
            <w:r>
              <w:t>إضافة الاختبار MST-010.</w:t>
            </w:r>
          </w:p>
        </w:tc>
      </w:tr>
      <w:tr>
        <w:tc>
          <w:tcPr>
            <w:tcW w:type="dxa" w:w="5213"/>
            <w:vAlign w:val="center"/>
          </w:tcPr>
          <w:p>
            <w:pPr>
              <w:jc w:val="left"/>
            </w:pPr>
            <w:r>
              <w:rPr>
                <w:rFonts w:ascii="DejaVu Sans Mono" w:hAnsi="DejaVu Sans Mono"/>
                <w:sz w:val="17"/>
              </w:rPr>
              <w:t>validate_master_package.py</w:t>
            </w:r>
          </w:p>
        </w:tc>
        <w:tc>
          <w:tcPr>
            <w:tcW w:type="dxa" w:w="5213"/>
            <w:vAlign w:val="center"/>
          </w:tcPr>
          <w:p>
            <w:pPr>
              <w:jc w:val="right"/>
              <w:bidi w:val="1"/>
            </w:pPr>
            <w:r>
              <w:t>إنفاذ MST-010.</w:t>
            </w:r>
          </w:p>
        </w:tc>
      </w:tr>
    </w:tbl>
    <w:p>
      <w:pPr>
        <w:pStyle w:val="Heading1"/>
        <w:jc w:val="right"/>
        <w:bidi w:val="1"/>
      </w:pPr>
      <w:r>
        <w:t>6. الحكم</w:t>
      </w:r>
    </w:p>
    <w:p>
      <w:pPr>
        <w:jc w:val="center"/>
        <w:bidi w:val="1"/>
      </w:pPr>
      <w:r>
        <w:rPr>
          <w:rFonts w:ascii="DejaVu Sans Mono" w:hAnsi="DejaVu Sans Mono"/>
          <w:b/>
        </w:rPr>
        <w:t>MASTER_v1.0.1_ROOT_SEMANTIC_UNITY_FIXED</w:t>
      </w:r>
    </w:p>
    <w:p>
      <w:pPr>
        <w:jc w:val="center"/>
        <w:bidi w:val="1"/>
      </w:pPr>
      <w:r>
        <w:t>هذا الحكم يثبت المبدأ داخل الحزمة ولا يعني أن مشروع LISAN3 نفذه بعد أو أن أي معنى جذري بعينه قد ثبت.</w:t>
      </w:r>
    </w:p>
    <w:sectPr w:rsidR="00FC693F" w:rsidRPr="0006063C" w:rsidSect="00034616">
      <w:footerReference w:type="default" r:id="rId9"/>
      <w:pgSz w:w="12240" w:h="15840"/>
      <w:pgMar w:top="964" w:right="907" w:bottom="96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Sans Arabic" w:hAnsi="Noto Sans Arabic"/>
        <w:color w:val="646464"/>
        <w:sz w:val="16"/>
      </w:rPr>
      <w:t>لسان القرآن — Master Integrated Package v1.0.1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Naskh Arabic" w:hAnsi="Noto Naskh Arabic" w:cs="Noto Naskh Arabic"/>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Arabic" w:hAnsi="Noto Sans Arabic" w:cs="Noto Sans Arabic"/>
      <w:b/>
      <w:bCs/>
      <w:color w:val="183B5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Arabic" w:hAnsi="Noto Sans Arabic" w:cs="Noto Sans Arabic"/>
      <w:b/>
      <w:bCs/>
      <w:color w:val="315B7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Arabic" w:hAnsi="Noto Sans Arabic" w:cs="Noto Sans Arabic"/>
      <w:b/>
      <w:color w:val="183B56"/>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