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I. Présentation de notre structure</w:t>
      </w:r>
    </w:p>
    <w:p>
      <w:r>
        <w:rPr>
          <w:b/>
          <w:sz w:val="26"/>
        </w:rPr>
        <w:t xml:space="preserve">Présentation de la société GSS</w:t>
      </w:r>
    </w:p>
    <w:p>
      <w:r>
        <w:rPr/>
        <w:t xml:space="preserve">GSS (Global Security Service) est une entreprise de sécurité privée agréée CNAPS, spécialisée dans la surveillance humaine de sites sensibles et tertiaires.</w:t>
      </w:r>
    </w:p>
    <w:p>
      <w:r>
        <w:rPr/>
        <w:t xml:space="preserve">Forte de plus de quinze ans d'expérience, GSS intervient sur des marchés publics exigeants et place la continuité de service au cœur de son organisation.</w:t>
      </w:r>
    </w:p>
    <w:p>
      <w:r>
        <w:rPr/>
        <w:t xml:space="preserve">Autorisation de fonctionnement CNAPS à jour</w:t>
      </w:r>
    </w:p>
    <w:p>
      <w:r>
        <w:rPr/>
        <w:t xml:space="preserve">Dirigeants titulaires d'un agrément CNAPS</w:t>
      </w:r>
    </w:p>
    <w:p>
      <w:r>
        <w:rPr/>
        <w:t xml:space="preserve">Démarche qualité et RSE structurée</w:t>
      </w:r>
    </w:p>
    <w:p>
      <w:r>
        <w:rPr>
          <w:b/>
          <w:sz w:val="26"/>
        </w:rPr>
        <w:t xml:space="preserve">Implantation régionale et agences de proximité</w:t>
      </w:r>
    </w:p>
    <w:p>
      <w:r>
        <w:rPr/>
        <w:t xml:space="preserve">Notre agence normande assure une proximité opérationnelle avec les campus de l'Université de Rouen Normandie (MontSaintAignan, Martainville, Pasteur, Madrillet, Évreux).</w:t>
      </w:r>
    </w:p>
    <w:p>
      <w:r>
        <w:rPr/>
        <w:t xml:space="preserve">Cette proximité garantit des temps de réaction courts et un encadrement présent sur le terrain.</w:t>
      </w:r>
    </w:p>
    <w:p>
      <w:r>
        <w:rPr>
          <w:b/>
          <w:sz w:val="32"/>
        </w:rPr>
        <w:t xml:space="preserve">II. Les moyens humains</w:t>
      </w:r>
    </w:p>
    <w:p>
      <w:r>
        <w:rPr>
          <w:b/>
          <w:sz w:val="26"/>
        </w:rPr>
        <w:t xml:space="preserve">Qualifications et profils des agents (CQP APS, SSIAP)</w:t>
      </w:r>
    </w:p>
    <w:p>
      <w:r>
        <w:rPr/>
        <w:t xml:space="preserve">Les agents affectés au marché sont titulaires du CQP APS et, selon les postes, des qualifications SSIAP 1 et 2.</w:t>
      </w:r>
    </w:p>
    <w:p>
      <w:r>
        <w:rPr/>
        <w:t xml:space="preserve">Chaque agent dispose d'une carte professionnelle CNAPS valide, vérifiée avant toute prise de poste.</w:t>
      </w:r>
    </w:p>
    <w:p>
      <w:r>
        <w:rPr>
          <w:b/>
          <w:sz w:val="26"/>
        </w:rPr>
        <w:t xml:space="preserve">Reprise du personnel en place (article L1224-1)</w:t>
      </w:r>
    </w:p>
    <w:p>
      <w:r>
        <w:rPr/>
        <w:t xml:space="preserve">GSS organise la reprise du personnel en place conformément à l'article L12241 du Code du travail et à la convention collective.</w:t>
      </w:r>
    </w:p>
    <w:p>
      <w:r>
        <w:rPr/>
        <w:t xml:space="preserve">Un entretien individuel est conduit avec chaque agent repris afin de sécuriser la transition et de maintenir la connaissance des sites.</w:t>
      </w:r>
    </w:p>
    <w:p>
      <w:r>
        <w:rPr>
          <w:b/>
          <w:sz w:val="32"/>
        </w:rPr>
        <w:t xml:space="preserve">III. Les moyens opérationnels</w:t>
      </w:r>
    </w:p>
    <w:p>
      <w:r>
        <w:rPr>
          <w:b/>
          <w:sz w:val="26"/>
        </w:rPr>
        <w:t xml:space="preserve">Rondes, pointeaux et main courante électronique</w:t>
      </w:r>
    </w:p>
    <w:p>
      <w:r>
        <w:rPr/>
        <w:t xml:space="preserve">Les rondes sont tracées par pointeaux NFC et consignées dans une main courante électronique horodatée.</w:t>
      </w:r>
    </w:p>
    <w:p>
      <w:r>
        <w:rPr/>
        <w:t xml:space="preserve">Les rapports sont accessibles au donneur d'ordre via un extranet dédié.</w:t>
      </w:r>
    </w:p>
    <w:p>
      <w:r>
        <w:rPr>
          <w:b/>
          <w:sz w:val="26"/>
        </w:rPr>
        <w:t xml:space="preserve">Gestion des alarmes et procédures d'intervention</w:t>
      </w:r>
    </w:p>
    <w:p>
      <w:r>
        <w:rPr/>
        <w:t xml:space="preserve">Toute alarme déclenche une procédure de levée de doute formalisée, avec consignes par site et reporting systématique.</w:t>
      </w:r>
    </w:p>
    <w:p>
      <w:r>
        <w:rPr/>
        <w:t xml:space="preserve">Qualification de l'événement</w:t>
      </w:r>
    </w:p>
    <w:p>
      <w:r>
        <w:rPr/>
        <w:t xml:space="preserve">Intervention selon consigne</w:t>
      </w:r>
    </w:p>
    <w:p>
      <w:r>
        <w:rPr/>
        <w:t xml:space="preserve">Compte rendu horodaté</w:t>
      </w:r>
    </w:p>
    <w:p>
      <w:r>
        <w:rPr>
          <w:b/>
          <w:sz w:val="32"/>
        </w:rPr>
        <w:t xml:space="preserve">IV. Les moyens organisationnels</w:t>
      </w:r>
    </w:p>
    <w:p>
      <w:r>
        <w:rPr>
          <w:b/>
          <w:sz w:val="26"/>
        </w:rPr>
        <w:t xml:space="preserve">Organisation et démarrage de la prestation</w:t>
      </w:r>
    </w:p>
    <w:p>
      <w:r>
        <w:rPr/>
        <w:t xml:space="preserve">Un plan de démarrage détaillé (J30 à J+15) sécurise la prise de marché : reprise du personnel, formation aux sites, mise en place des moyens.</w:t>
      </w:r>
    </w:p>
    <w:p>
      <w:r>
        <w:rPr/>
        <w:t xml:space="preserve">Un référent unique est désigné comme interlocuteur du donneur d'ordre.</w:t>
      </w:r>
    </w:p>
    <w:p>
      <w:r>
        <w:rPr>
          <w:b/>
          <w:sz w:val="26"/>
        </w:rPr>
        <w:t xml:space="preserve">Suivi qualité, contrôles inopinés et reporting</w:t>
      </w:r>
    </w:p>
    <w:p>
      <w:r>
        <w:rPr/>
        <w:t xml:space="preserve">La qualité de la prestation est pilotée par des contrôles inopinés, des réunions de suivi périodiques et un reporting mensuel.</w:t>
      </w:r>
    </w:p>
    <w:p>
      <w:r>
        <w:rPr/>
        <w:t xml:space="preserve">Les écarts éventuels font l'objet d'un plan d'action correctif tracé.</w:t>
      </w:r>
    </w:p>
    <w:sectPr>
      <w:pgSz w:w="11906" w:h="16838"/>
      <w:pgMar w:top="1417" w:right="1417" w:bottom="1417" w:left="1417" w:header="708" w:footer="708" w:gutter="0"/>
    </w:sectPr>
  </w:body>
</w:document>
</file>

<file path=word/_rels/document.xml.rels><?xml version="1.0" encoding="UTF-8" standalone="yes"?><Relationships xmlns="http://schemas.openxmlformats.org/package/2006/relationships"></Relationships>
</file>