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="http://schemas.openxmlformats.org/wordprocessingml/2006/main" xmlns:r="http://schemas.openxmlformats.org/officeDocument/2006/relationships">
  <w:background w:color="E5E5E5"/>
  <w:body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200" w:line="276" w:lineRule="auto"/>
        <w:jc w:val="center"/>
      </w:pPr>
      <w:r>
        <w:rPr>
          <w:rFonts w:ascii="Trebuchet MS" w:hAnsi="Trebuchet MS" w:cs="Trebuchet MS"/>
          <w:b/>
          <w:color w:val="C81E1E"/>
          <w:sz w:val="28"/>
          <w:szCs w:val="28"/>
        </w:rPr>
        <w:t xml:space="preserve">MÉMOIRE TECHNIQUE</w:t>
      </w:r>
    </w:p>
    <w:p>
      <w:pPr>
        <w:spacing w:before="0" w:after="240" w:line="276" w:lineRule="auto"/>
        <w:jc w:val="center"/>
      </w:pPr>
      <w:r>
        <w:rPr>
          <w:rFonts w:ascii="Trebuchet MS" w:hAnsi="Trebuchet MS" w:cs="Trebuchet MS"/>
          <w:b/>
          <w:color w:val="1A1A1A"/>
          <w:sz w:val="52"/>
          <w:szCs w:val="52"/>
        </w:rPr>
        <w:t xml:space="preserve">MÉMOIRE TECHNIQUE</w:t>
      </w:r>
    </w:p>
    <w:p>
      <w:pPr>
        <w:spacing w:before="0" w:after="120" w:line="276" w:lineRule="auto"/>
        <w:jc w:val="center"/>
      </w:pPr>
      <w:r>
        <w:rPr>
          <w:rFonts w:ascii="Trebuchet MS" w:hAnsi="Trebuchet MS" w:cs="Trebuchet MS"/>
          <w:b/>
          <w:color w:val="2B2B2B"/>
          <w:sz w:val="32"/>
          <w:szCs w:val="32"/>
        </w:rPr>
        <w:t xml:space="preserve">GSS — Global Security Service</w:t>
      </w: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  <w:jc w:val="center"/>
      </w:pPr>
      <w:r>
        <w:rPr>
          <w:rFonts w:ascii="Trebuchet MS" w:hAnsi="Trebuchet MS" w:cs="Trebuchet MS"/>
          <w:b/>
          <w:color w:val="C81E1E"/>
          <w:sz w:val="24"/>
          <w:szCs w:val="24"/>
        </w:rPr>
        <w:t xml:space="preserve">GSS — Global Security Service</w:t>
      </w:r>
    </w:p>
    <w:p>
      <w:pPr>
        <w:pBdr>
          <w:bottom w:val="single" w:sz="14" w:space="6" w:color="C81E1E"/>
        </w:pBdr>
        <w:spacing w:before="240" w:after="200" w:line="276" w:lineRule="auto"/>
      </w:pPr>
      <w:r>
        <w:rPr>
          <w:rFonts w:ascii="Trebuchet MS" w:hAnsi="Trebuchet MS" w:cs="Trebuchet MS"/>
          <w:b/>
          <w:color w:val="1A1A1A"/>
          <w:sz w:val="40"/>
          <w:szCs w:val="40"/>
        </w:rPr>
        <w:t xml:space="preserve">I.  PRÉSENTATION DE NOTRE STRUCTURE</w:t>
      </w:r>
    </w:p>
    <w:p>
      <w:pPr>
        <w:spacing w:before="280" w:after="140" w:line="276" w:lineRule="auto"/>
      </w:pPr>
      <w:r>
        <w:rPr>
          <w:rFonts w:ascii="Trebuchet MS" w:hAnsi="Trebuchet MS" w:cs="Trebuchet MS"/>
          <w:b/>
          <w:color w:val="C81E1E"/>
          <w:sz w:val="30"/>
          <w:szCs w:val="30"/>
        </w:rPr>
        <w:t xml:space="preserve">Présentation de la société GSS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GSS (Global Security Service) est une entreprise de sécurité privée agréée CNAPS, spécialisée dans la surveillance humaine de sites sensibles et tertiaires.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Forte de plus de quinze ans d'expérience, GSS intervient sur des marchés publics exigeants et place la </w:t>
      </w:r>
      <w:r>
        <w:rPr>
          <w:rFonts w:ascii="Trebuchet MS" w:hAnsi="Trebuchet MS" w:cs="Trebuchet MS"/>
          <w:b/>
          <w:color w:val="2B2B2B"/>
          <w:sz w:val="22"/>
          <w:szCs w:val="22"/>
        </w:rPr>
        <w:t xml:space="preserve">continuité de service</w:t>
      </w:r>
      <w:r>
        <w:rPr>
          <w:rFonts w:ascii="Trebuchet MS" w:hAnsi="Trebuchet MS" w:cs="Trebuchet MS"/>
          <w:color w:val="2B2B2B"/>
          <w:sz w:val="22"/>
          <w:szCs w:val="22"/>
        </w:rPr>
        <w:t xml:space="preserve"> au cœur de son organisation.</w:t>
      </w:r>
    </w:p>
    <w:p>
      <w:pPr>
        <w:ind w:left="360" w:hanging="240"/>
        <w:spacing w:before="0" w:after="80" w:line="276" w:lineRule="auto"/>
      </w:pPr>
      <w:r>
        <w:rPr>
          <w:rFonts w:ascii="Trebuchet MS" w:hAnsi="Trebuchet MS" w:cs="Trebuchet MS"/>
          <w:b/>
          <w:color w:val="C81E1E"/>
          <w:sz w:val="22"/>
          <w:szCs w:val="22"/>
        </w:rPr>
        <w:t xml:space="preserve">•	</w:t>
      </w:r>
      <w:r>
        <w:rPr>
          <w:rFonts w:ascii="Trebuchet MS" w:hAnsi="Trebuchet MS" w:cs="Trebuchet MS"/>
          <w:color w:val="2B2B2B"/>
          <w:sz w:val="22"/>
          <w:szCs w:val="22"/>
        </w:rPr>
        <w:t xml:space="preserve">Autorisation de fonctionnement CNAPS à jour</w:t>
      </w:r>
    </w:p>
    <w:p>
      <w:pPr>
        <w:ind w:left="360" w:hanging="240"/>
        <w:spacing w:before="0" w:after="80" w:line="276" w:lineRule="auto"/>
      </w:pPr>
      <w:r>
        <w:rPr>
          <w:rFonts w:ascii="Trebuchet MS" w:hAnsi="Trebuchet MS" w:cs="Trebuchet MS"/>
          <w:b/>
          <w:color w:val="C81E1E"/>
          <w:sz w:val="22"/>
          <w:szCs w:val="22"/>
        </w:rPr>
        <w:t xml:space="preserve">•	</w:t>
      </w:r>
      <w:r>
        <w:rPr>
          <w:rFonts w:ascii="Trebuchet MS" w:hAnsi="Trebuchet MS" w:cs="Trebuchet MS"/>
          <w:color w:val="2B2B2B"/>
          <w:sz w:val="22"/>
          <w:szCs w:val="22"/>
        </w:rPr>
        <w:t xml:space="preserve">Dirigeants titulaires d'un agrément CNAPS</w:t>
      </w:r>
    </w:p>
    <w:p>
      <w:pPr>
        <w:ind w:left="360" w:hanging="240"/>
        <w:spacing w:before="0" w:after="80" w:line="276" w:lineRule="auto"/>
      </w:pPr>
      <w:r>
        <w:rPr>
          <w:rFonts w:ascii="Trebuchet MS" w:hAnsi="Trebuchet MS" w:cs="Trebuchet MS"/>
          <w:b/>
          <w:color w:val="C81E1E"/>
          <w:sz w:val="22"/>
          <w:szCs w:val="22"/>
        </w:rPr>
        <w:t xml:space="preserve">•	</w:t>
      </w:r>
      <w:r>
        <w:rPr>
          <w:rFonts w:ascii="Trebuchet MS" w:hAnsi="Trebuchet MS" w:cs="Trebuchet MS"/>
          <w:color w:val="2B2B2B"/>
          <w:sz w:val="22"/>
          <w:szCs w:val="22"/>
        </w:rPr>
        <w:t xml:space="preserve">Démarche qualité et RSE structurée</w:t>
      </w:r>
    </w:p>
    <w:p>
      <w:pPr>
        <w:spacing w:before="280" w:after="140" w:line="276" w:lineRule="auto"/>
      </w:pPr>
      <w:r>
        <w:rPr>
          <w:rFonts w:ascii="Trebuchet MS" w:hAnsi="Trebuchet MS" w:cs="Trebuchet MS"/>
          <w:b/>
          <w:color w:val="C81E1E"/>
          <w:sz w:val="30"/>
          <w:szCs w:val="30"/>
        </w:rPr>
        <w:t xml:space="preserve">Implantation régionale et agences de proximité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Notre agence normande assure une proximité opérationnelle avec les campus de l'Université de Rouen Normandie (Mont-Saint-Aignan, Martainville, Pasteur, Madrillet, Évreux).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Cette proximité garantit des temps de réaction courts et un encadrement présent sur le terrain.</w:t>
      </w:r>
    </w:p>
    <w:p>
      <w:pPr>
        <w:pageBreakBefore/>
        <w:pBdr>
          <w:bottom w:val="single" w:sz="14" w:space="6" w:color="C81E1E"/>
        </w:pBdr>
        <w:spacing w:before="240" w:after="200" w:line="276" w:lineRule="auto"/>
      </w:pPr>
      <w:r>
        <w:rPr>
          <w:rFonts w:ascii="Trebuchet MS" w:hAnsi="Trebuchet MS" w:cs="Trebuchet MS"/>
          <w:b/>
          <w:color w:val="1A1A1A"/>
          <w:sz w:val="40"/>
          <w:szCs w:val="40"/>
        </w:rPr>
        <w:t xml:space="preserve">II.  LES MOYENS HUMAINS</w:t>
      </w:r>
    </w:p>
    <w:p>
      <w:pPr>
        <w:spacing w:before="280" w:after="140" w:line="276" w:lineRule="auto"/>
      </w:pPr>
      <w:r>
        <w:rPr>
          <w:rFonts w:ascii="Trebuchet MS" w:hAnsi="Trebuchet MS" w:cs="Trebuchet MS"/>
          <w:b/>
          <w:color w:val="C81E1E"/>
          <w:sz w:val="30"/>
          <w:szCs w:val="30"/>
        </w:rPr>
        <w:t xml:space="preserve">Qualifications et profils des agents (CQP APS, SSIAP)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Les agents affectés au marché sont titulaires du </w:t>
      </w:r>
      <w:r>
        <w:rPr>
          <w:rFonts w:ascii="Trebuchet MS" w:hAnsi="Trebuchet MS" w:cs="Trebuchet MS"/>
          <w:b/>
          <w:color w:val="2B2B2B"/>
          <w:sz w:val="22"/>
          <w:szCs w:val="22"/>
        </w:rPr>
        <w:t xml:space="preserve">CQP APS</w:t>
      </w:r>
      <w:r>
        <w:rPr>
          <w:rFonts w:ascii="Trebuchet MS" w:hAnsi="Trebuchet MS" w:cs="Trebuchet MS"/>
          <w:color w:val="2B2B2B"/>
          <w:sz w:val="22"/>
          <w:szCs w:val="22"/>
        </w:rPr>
        <w:t xml:space="preserve"> et, selon les postes, des qualifications </w:t>
      </w:r>
      <w:r>
        <w:rPr>
          <w:rFonts w:ascii="Trebuchet MS" w:hAnsi="Trebuchet MS" w:cs="Trebuchet MS"/>
          <w:b/>
          <w:color w:val="2B2B2B"/>
          <w:sz w:val="22"/>
          <w:szCs w:val="22"/>
        </w:rPr>
        <w:t xml:space="preserve">SSIAP 1 et 2</w:t>
      </w:r>
      <w:r>
        <w:rPr>
          <w:rFonts w:ascii="Trebuchet MS" w:hAnsi="Trebuchet MS" w:cs="Trebuchet MS"/>
          <w:color w:val="2B2B2B"/>
          <w:sz w:val="22"/>
          <w:szCs w:val="22"/>
        </w:rPr>
        <w:t xml:space="preserve">.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Chaque agent dispose d'une carte professionnelle CNAPS valide, vérifiée avant toute prise de poste.</w:t>
      </w:r>
    </w:p>
    <w:p>
      <w:pPr>
        <w:spacing w:before="280" w:after="140" w:line="276" w:lineRule="auto"/>
      </w:pPr>
      <w:r>
        <w:rPr>
          <w:rFonts w:ascii="Trebuchet MS" w:hAnsi="Trebuchet MS" w:cs="Trebuchet MS"/>
          <w:b/>
          <w:color w:val="C81E1E"/>
          <w:sz w:val="30"/>
          <w:szCs w:val="30"/>
        </w:rPr>
        <w:t xml:space="preserve">Reprise du personnel en place (article L1224-1)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GSS organise la reprise du personnel en place conformément à l'article L1224-1 du Code du travail et à la convention collective.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Un entretien individuel est conduit avec chaque agent repris afin de sécuriser la transition et de maintenir la connaissance des sites.</w:t>
      </w:r>
    </w:p>
    <w:p>
      <w:pPr>
        <w:pageBreakBefore/>
        <w:pBdr>
          <w:bottom w:val="single" w:sz="14" w:space="6" w:color="C81E1E"/>
        </w:pBdr>
        <w:spacing w:before="240" w:after="200" w:line="276" w:lineRule="auto"/>
      </w:pPr>
      <w:r>
        <w:rPr>
          <w:rFonts w:ascii="Trebuchet MS" w:hAnsi="Trebuchet MS" w:cs="Trebuchet MS"/>
          <w:b/>
          <w:color w:val="1A1A1A"/>
          <w:sz w:val="40"/>
          <w:szCs w:val="40"/>
        </w:rPr>
        <w:t xml:space="preserve">III.  LES MOYENS OPÉRATIONNELS</w:t>
      </w:r>
    </w:p>
    <w:p>
      <w:pPr>
        <w:spacing w:before="280" w:after="140" w:line="276" w:lineRule="auto"/>
      </w:pPr>
      <w:r>
        <w:rPr>
          <w:rFonts w:ascii="Trebuchet MS" w:hAnsi="Trebuchet MS" w:cs="Trebuchet MS"/>
          <w:b/>
          <w:color w:val="C81E1E"/>
          <w:sz w:val="30"/>
          <w:szCs w:val="30"/>
        </w:rPr>
        <w:t xml:space="preserve">Rondes, pointeaux et main courante électronique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Les rondes sont tracées par pointeaux NFC et consignées dans une main courante électronique horodatée.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Les rapports sont accessibles au donneur d'ordre via un extranet dédié.</w:t>
      </w:r>
    </w:p>
    <w:p>
      <w:pPr>
        <w:spacing w:before="280" w:after="140" w:line="276" w:lineRule="auto"/>
      </w:pPr>
      <w:r>
        <w:rPr>
          <w:rFonts w:ascii="Trebuchet MS" w:hAnsi="Trebuchet MS" w:cs="Trebuchet MS"/>
          <w:b/>
          <w:color w:val="C81E1E"/>
          <w:sz w:val="30"/>
          <w:szCs w:val="30"/>
        </w:rPr>
        <w:t xml:space="preserve">Gestion des alarmes et procédures d'intervention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Toute alarme déclenche une procédure de levée de doute formalisée, avec consignes par site et reporting systématique.</w:t>
      </w:r>
    </w:p>
    <w:p>
      <w:pPr>
        <w:ind w:left="360" w:hanging="240"/>
        <w:spacing w:before="0" w:after="80" w:line="276" w:lineRule="auto"/>
      </w:pPr>
      <w:r>
        <w:rPr>
          <w:rFonts w:ascii="Trebuchet MS" w:hAnsi="Trebuchet MS" w:cs="Trebuchet MS"/>
          <w:b/>
          <w:color w:val="C81E1E"/>
          <w:sz w:val="22"/>
          <w:szCs w:val="22"/>
        </w:rPr>
        <w:t xml:space="preserve">•	</w:t>
      </w:r>
      <w:r>
        <w:rPr>
          <w:rFonts w:ascii="Trebuchet MS" w:hAnsi="Trebuchet MS" w:cs="Trebuchet MS"/>
          <w:color w:val="2B2B2B"/>
          <w:sz w:val="22"/>
          <w:szCs w:val="22"/>
        </w:rPr>
        <w:t xml:space="preserve">Qualification de l'événement</w:t>
      </w:r>
    </w:p>
    <w:p>
      <w:pPr>
        <w:ind w:left="360" w:hanging="240"/>
        <w:spacing w:before="0" w:after="80" w:line="276" w:lineRule="auto"/>
      </w:pPr>
      <w:r>
        <w:rPr>
          <w:rFonts w:ascii="Trebuchet MS" w:hAnsi="Trebuchet MS" w:cs="Trebuchet MS"/>
          <w:b/>
          <w:color w:val="C81E1E"/>
          <w:sz w:val="22"/>
          <w:szCs w:val="22"/>
        </w:rPr>
        <w:t xml:space="preserve">•	</w:t>
      </w:r>
      <w:r>
        <w:rPr>
          <w:rFonts w:ascii="Trebuchet MS" w:hAnsi="Trebuchet MS" w:cs="Trebuchet MS"/>
          <w:color w:val="2B2B2B"/>
          <w:sz w:val="22"/>
          <w:szCs w:val="22"/>
        </w:rPr>
        <w:t xml:space="preserve">Intervention selon consigne</w:t>
      </w:r>
    </w:p>
    <w:p>
      <w:pPr>
        <w:ind w:left="360" w:hanging="240"/>
        <w:spacing w:before="0" w:after="80" w:line="276" w:lineRule="auto"/>
      </w:pPr>
      <w:r>
        <w:rPr>
          <w:rFonts w:ascii="Trebuchet MS" w:hAnsi="Trebuchet MS" w:cs="Trebuchet MS"/>
          <w:b/>
          <w:color w:val="C81E1E"/>
          <w:sz w:val="22"/>
          <w:szCs w:val="22"/>
        </w:rPr>
        <w:t xml:space="preserve">•	</w:t>
      </w:r>
      <w:r>
        <w:rPr>
          <w:rFonts w:ascii="Trebuchet MS" w:hAnsi="Trebuchet MS" w:cs="Trebuchet MS"/>
          <w:color w:val="2B2B2B"/>
          <w:sz w:val="22"/>
          <w:szCs w:val="22"/>
        </w:rPr>
        <w:t xml:space="preserve">Compte rendu horodaté</w:t>
      </w:r>
    </w:p>
    <w:p>
      <w:pPr>
        <w:pageBreakBefore/>
        <w:pBdr>
          <w:bottom w:val="single" w:sz="14" w:space="6" w:color="C81E1E"/>
        </w:pBdr>
        <w:spacing w:before="240" w:after="200" w:line="276" w:lineRule="auto"/>
      </w:pPr>
      <w:r>
        <w:rPr>
          <w:rFonts w:ascii="Trebuchet MS" w:hAnsi="Trebuchet MS" w:cs="Trebuchet MS"/>
          <w:b/>
          <w:color w:val="1A1A1A"/>
          <w:sz w:val="40"/>
          <w:szCs w:val="40"/>
        </w:rPr>
        <w:t xml:space="preserve">IV.  LES MOYENS ORGANISATIONNELS</w:t>
      </w:r>
    </w:p>
    <w:p>
      <w:pPr>
        <w:spacing w:before="280" w:after="140" w:line="276" w:lineRule="auto"/>
      </w:pPr>
      <w:r>
        <w:rPr>
          <w:rFonts w:ascii="Trebuchet MS" w:hAnsi="Trebuchet MS" w:cs="Trebuchet MS"/>
          <w:b/>
          <w:color w:val="C81E1E"/>
          <w:sz w:val="30"/>
          <w:szCs w:val="30"/>
        </w:rPr>
        <w:t xml:space="preserve">Organisation et démarrage de la prestation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Un plan de démarrage détaillé (J-30 à J+15) sécurise la prise de marché : reprise du personnel, formation aux sites, mise en place des moyens.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Un référent unique est désigné comme interlocuteur du donneur d'ordre.</w:t>
      </w:r>
    </w:p>
    <w:p>
      <w:pPr>
        <w:spacing w:before="280" w:after="140" w:line="276" w:lineRule="auto"/>
      </w:pPr>
      <w:r>
        <w:rPr>
          <w:rFonts w:ascii="Trebuchet MS" w:hAnsi="Trebuchet MS" w:cs="Trebuchet MS"/>
          <w:b/>
          <w:color w:val="C81E1E"/>
          <w:sz w:val="30"/>
          <w:szCs w:val="30"/>
        </w:rPr>
        <w:t xml:space="preserve">Suivi qualité, contrôles inopinés et reporting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La qualité de la prestation est pilotée par des contrôles inopinés, des réunions de suivi périodiques et un reporting mensuel.</w:t>
      </w:r>
    </w:p>
    <w:p>
      <w:pPr>
        <w:spacing w:before="0" w:after="140" w:line="276" w:lineRule="auto"/>
        <w:jc w:val="both"/>
      </w:pPr>
      <w:r>
        <w:rPr>
          <w:rFonts w:ascii="Trebuchet MS" w:hAnsi="Trebuchet MS" w:cs="Trebuchet MS"/>
          <w:color w:val="2B2B2B"/>
          <w:sz w:val="22"/>
          <w:szCs w:val="22"/>
        </w:rPr>
        <w:t xml:space="preserve">Les écarts éventuels font l'objet d'un plan d'action correctif tracé.</w:t>
      </w:r>
    </w:p>
    <w:sectPr>
      <w:headerReference w:type="default" r:id="rIdHdrGss"/>
      <w:pgSz w:w="11910" w:h="16850"/>
      <w:pgMar w:top="1418" w:right="1134" w:bottom="1134" w:left="1134" w:header="567" w:footer="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  <w:spacing w:after="0"/>
    </w:pPr>
    <w:r>
      <w:drawing>
        <wp:inline distT="0" distB="0" distL="0" distR="0">
          <wp:extent cx="2200000" cy="862614"/>
          <wp:effectExtent l="0" t="0" r="0" b="0"/>
          <wp:docPr id="900" name="BandeauGS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0" name="BandeauGS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0000" cy="8626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0"/>
      <w:numFmt w:val="bullet"/>
      <w:lvlText w:val="-"/>
      <w:lvlJc w:val="left"/>
      <w:pPr>
        <w:ind w:left="0" w:hanging="151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20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80" w:hanging="1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61" w:hanging="1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41" w:hanging="1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22" w:hanging="1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02" w:hanging="1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83" w:hanging="1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363" w:hanging="1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844" w:hanging="15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0" w:hanging="151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20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0" w:hanging="1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01" w:hanging="1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01" w:hanging="1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02" w:hanging="1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502" w:hanging="1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003" w:hanging="1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503" w:hanging="1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04" w:hanging="15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0" w:hanging="151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20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88" w:hanging="1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77" w:hanging="1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6" w:hanging="1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55" w:hanging="1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44" w:hanging="1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933" w:hanging="1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422" w:hanging="1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911" w:hanging="15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2"/>
      <w:numFmt w:val="decimal"/>
      <w:lvlText w:val="%1."/>
      <w:lvlJc w:val="left"/>
      <w:pPr>
        <w:ind w:left="3722" w:hanging="36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0"/>
        <w:w w:val="65"/>
        <w:sz w:val="33"/>
        <w:szCs w:val="33"/>
        <w:lang w:val="fr-FR" w:eastAsia="en-US" w:bidi="ar-SA"/>
      </w:rPr>
    </w:lvl>
    <w:lvl w:ilvl="1">
      <w:start w:val="1"/>
      <w:numFmt w:val="lowerLetter"/>
      <w:lvlText w:val="%2."/>
      <w:lvlJc w:val="left"/>
      <w:pPr>
        <w:ind w:left="4001" w:hanging="31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-1"/>
        <w:w w:val="65"/>
        <w:sz w:val="29"/>
        <w:szCs w:val="2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878" w:hanging="31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757" w:hanging="31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636" w:hanging="31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15" w:hanging="31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394" w:hanging="31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273" w:hanging="31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152" w:hanging="319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658" w:hanging="29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0"/>
        <w:w w:val="65"/>
        <w:sz w:val="33"/>
        <w:szCs w:val="3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485" w:hanging="2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10" w:hanging="2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135" w:hanging="2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960" w:hanging="2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785" w:hanging="2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10" w:hanging="2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435" w:hanging="2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260" w:hanging="29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."/>
      <w:lvlJc w:val="left"/>
      <w:pPr>
        <w:ind w:left="3065" w:hanging="340"/>
        <w:jc w:val="right"/>
      </w:pPr>
      <w:rPr>
        <w:rFonts w:hint="default"/>
        <w:spacing w:val="-1"/>
        <w:w w:val="6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945" w:hanging="3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830" w:hanging="3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715" w:hanging="3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600" w:hanging="3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85" w:hanging="3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370" w:hanging="3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255" w:hanging="3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140" w:hanging="340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4"/>
      <w:numFmt w:val="decimal"/>
      <w:lvlText w:val="%1."/>
      <w:lvlJc w:val="left"/>
      <w:pPr>
        <w:ind w:left="3723" w:hanging="36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0"/>
        <w:w w:val="65"/>
        <w:sz w:val="33"/>
        <w:szCs w:val="3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539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58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177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996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15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34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453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272" w:hanging="364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3"/>
      <w:numFmt w:val="decimal"/>
      <w:lvlText w:val="%1."/>
      <w:lvlJc w:val="left"/>
      <w:pPr>
        <w:ind w:left="3731" w:hanging="37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0"/>
        <w:w w:val="65"/>
        <w:sz w:val="33"/>
        <w:szCs w:val="3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557" w:hanging="37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74" w:hanging="37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191" w:hanging="37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008" w:hanging="37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25" w:hanging="37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42" w:hanging="37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459" w:hanging="37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276" w:hanging="372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2"/>
      <w:numFmt w:val="decimal"/>
      <w:lvlText w:val="%1."/>
      <w:lvlJc w:val="left"/>
      <w:pPr>
        <w:ind w:left="3722" w:hanging="36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0"/>
        <w:w w:val="65"/>
        <w:sz w:val="33"/>
        <w:szCs w:val="3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539" w:hanging="36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58" w:hanging="36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177" w:hanging="36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996" w:hanging="36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15" w:hanging="36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34" w:hanging="36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453" w:hanging="36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272" w:hanging="362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879" w:hanging="298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0"/>
        <w:w w:val="65"/>
        <w:sz w:val="33"/>
        <w:szCs w:val="3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683" w:hanging="2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486" w:hanging="2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89" w:hanging="2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092" w:hanging="2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95" w:hanging="2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98" w:hanging="2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501" w:hanging="2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304" w:hanging="29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2"/>
      <w:numFmt w:val="decimal"/>
      <w:lvlText w:val="%1."/>
      <w:lvlJc w:val="left"/>
      <w:pPr>
        <w:ind w:left="3943" w:hanging="36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0"/>
        <w:w w:val="65"/>
        <w:sz w:val="33"/>
        <w:szCs w:val="3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737" w:hanging="36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534" w:hanging="36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331" w:hanging="36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128" w:hanging="36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925" w:hanging="36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722" w:hanging="36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519" w:hanging="36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316" w:hanging="362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159" w:hanging="160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21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56" w:hanging="1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53" w:hanging="1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49" w:hanging="1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146" w:hanging="1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642" w:hanging="1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139" w:hanging="1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35" w:hanging="1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132" w:hanging="160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159" w:hanging="160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21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65" w:hanging="1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71" w:hanging="1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77" w:hanging="1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183" w:hanging="1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688" w:hanging="1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194" w:hanging="1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700" w:hanging="1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06" w:hanging="160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0" w:hanging="160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21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52" w:hanging="1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05" w:hanging="1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57" w:hanging="1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210" w:hanging="1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762" w:hanging="1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15" w:hanging="1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67" w:hanging="1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20" w:hanging="16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0" w:hanging="160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21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46" w:hanging="1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92" w:hanging="1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38" w:hanging="1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185" w:hanging="1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731" w:hanging="1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77" w:hanging="1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24" w:hanging="1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370" w:hanging="16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."/>
      <w:lvlJc w:val="left"/>
      <w:pPr>
        <w:ind w:left="3852" w:hanging="36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0"/>
        <w:w w:val="65"/>
        <w:sz w:val="33"/>
        <w:szCs w:val="3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665" w:hanging="36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470" w:hanging="36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75" w:hanging="36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080" w:hanging="36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5" w:hanging="36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90" w:hanging="36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495" w:hanging="36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300" w:hanging="362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872" w:hanging="18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9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83" w:hanging="1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86" w:hanging="1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89" w:hanging="1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92" w:hanging="1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895" w:hanging="1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898" w:hanging="1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901" w:hanging="1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904" w:hanging="18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2953" w:hanging="18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9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855" w:hanging="1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50" w:hanging="1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645" w:hanging="1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40" w:hanging="1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35" w:hanging="1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330" w:hanging="1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225" w:hanging="1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120" w:hanging="18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1191" w:hanging="192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9"/>
        <w:sz w:val="28"/>
        <w:szCs w:val="28"/>
        <w:lang w:val="fr-FR" w:eastAsia="en-US" w:bidi="ar-SA"/>
      </w:rPr>
    </w:lvl>
    <w:lvl w:ilvl="1">
      <w:start w:val="0"/>
      <w:numFmt w:val="bullet"/>
      <w:lvlText w:val="-"/>
      <w:lvlJc w:val="left"/>
      <w:pPr>
        <w:ind w:left="2055" w:hanging="18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9"/>
        <w:sz w:val="28"/>
        <w:szCs w:val="2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54" w:hanging="1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48" w:hanging="1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43" w:hanging="1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37" w:hanging="1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32" w:hanging="1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26" w:hanging="1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21" w:hanging="18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191" w:hanging="18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9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71" w:hanging="1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42" w:hanging="1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13" w:hanging="1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84" w:hanging="1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55" w:hanging="1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26" w:hanging="1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97" w:hanging="1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68" w:hanging="18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375" w:hanging="185"/>
      </w:pPr>
      <w:rPr>
        <w:rFonts w:hint="default" w:ascii="Trebuchet MS" w:hAnsi="Trebuchet MS" w:eastAsia="Trebuchet MS" w:cs="Trebuchet MS"/>
        <w:spacing w:val="0"/>
        <w:w w:val="5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10" w:hanging="185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05224"/>
        <w:spacing w:val="0"/>
        <w:w w:val="63"/>
        <w:sz w:val="32"/>
        <w:szCs w:val="3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63" w:hanging="1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06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50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93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36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80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23" w:hanging="18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191" w:hanging="31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9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71" w:hanging="31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42" w:hanging="31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13" w:hanging="31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84" w:hanging="31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55" w:hanging="31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26" w:hanging="31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97" w:hanging="31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68" w:hanging="314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462" w:hanging="185"/>
      </w:pPr>
      <w:rPr>
        <w:rFonts w:hint="default" w:ascii="Trebuchet MS" w:hAnsi="Trebuchet MS" w:eastAsia="Trebuchet MS" w:cs="Trebuchet MS"/>
        <w:spacing w:val="0"/>
        <w:w w:val="5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05" w:hanging="18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50" w:hanging="1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95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40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85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730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75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820" w:hanging="18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657" w:hanging="184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7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85" w:hanging="1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10" w:hanging="1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35" w:hanging="1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60" w:hanging="1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785" w:hanging="1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810" w:hanging="1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835" w:hanging="1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860" w:hanging="184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443" w:hanging="184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7"/>
        <w:sz w:val="26"/>
        <w:szCs w:val="26"/>
        <w:lang w:val="fr-FR" w:eastAsia="en-US" w:bidi="ar-SA"/>
      </w:rPr>
    </w:lvl>
    <w:lvl w:ilvl="1">
      <w:start w:val="0"/>
      <w:numFmt w:val="bullet"/>
      <w:lvlText w:val="-"/>
      <w:lvlJc w:val="left"/>
      <w:pPr>
        <w:ind w:left="1798" w:hanging="184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7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23" w:hanging="1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46" w:hanging="1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70" w:hanging="1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93" w:hanging="1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16" w:hanging="1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40" w:hanging="1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63" w:hanging="184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333" w:hanging="184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7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97" w:hanging="1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54" w:hanging="1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11" w:hanging="1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68" w:hanging="1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25" w:hanging="1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82" w:hanging="1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39" w:hanging="1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96" w:hanging="184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594" w:hanging="184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7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31" w:hanging="1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662" w:hanging="1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93" w:hanging="1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24" w:hanging="1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755" w:hanging="1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786" w:hanging="1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817" w:hanging="1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848" w:hanging="184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401" w:hanging="184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7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51" w:hanging="1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02" w:hanging="1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53" w:hanging="1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04" w:hanging="1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55" w:hanging="1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706" w:hanging="1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57" w:hanging="1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808" w:hanging="184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277" w:hanging="184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7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43" w:hanging="1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06" w:hanging="1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69" w:hanging="1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32" w:hanging="1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95" w:hanging="1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58" w:hanging="1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21" w:hanging="1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84" w:hanging="184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Roman"/>
      <w:lvlText w:val="%1."/>
      <w:lvlJc w:val="left"/>
      <w:pPr>
        <w:ind w:left="3662" w:hanging="610"/>
        <w:jc w:val="right"/>
      </w:pPr>
      <w:rPr>
        <w:rFonts w:hint="default"/>
        <w:spacing w:val="-1"/>
        <w:w w:val="6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485" w:hanging="61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10" w:hanging="61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135" w:hanging="6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960" w:hanging="6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785" w:hanging="6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10" w:hanging="6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435" w:hanging="6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260" w:hanging="61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62" w:hanging="41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F5F5DB"/>
        <w:spacing w:val="0"/>
        <w:w w:val="65"/>
        <w:sz w:val="37"/>
        <w:szCs w:val="3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305" w:hanging="41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150" w:hanging="41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995" w:hanging="4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840" w:hanging="4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85" w:hanging="4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530" w:hanging="4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375" w:hanging="4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220" w:hanging="41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191" w:hanging="193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9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71" w:hanging="19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42" w:hanging="19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13" w:hanging="19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84" w:hanging="19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55" w:hanging="19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26" w:hanging="19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97" w:hanging="19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68" w:hanging="19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70" w:hanging="173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8070A"/>
        <w:spacing w:val="0"/>
        <w:w w:val="11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86" w:hanging="17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93" w:hanging="17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00" w:hanging="17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07" w:hanging="17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14" w:hanging="17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21" w:hanging="17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27" w:hanging="17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34" w:hanging="17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388" w:hanging="336"/>
        <w:jc w:val="right"/>
      </w:pPr>
      <w:rPr>
        <w:rFonts w:hint="default"/>
        <w:spacing w:val="0"/>
        <w:w w:val="6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190" w:hanging="33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001" w:hanging="33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811" w:hanging="33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622" w:hanging="33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32" w:hanging="33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243" w:hanging="33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53" w:hanging="33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864" w:hanging="33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96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06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2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19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25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32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38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44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51" w:hanging="284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3655" w:hanging="8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EFDDBE"/>
        <w:spacing w:val="0"/>
        <w:w w:val="56"/>
        <w:sz w:val="85"/>
        <w:szCs w:val="8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442" w:hanging="83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225" w:hanging="83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007" w:hanging="83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790" w:hanging="83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72" w:hanging="83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355" w:hanging="83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137" w:hanging="83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920" w:hanging="83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442" w:hanging="252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FD7B6E"/>
        <w:spacing w:val="0"/>
        <w:w w:val="64"/>
        <w:sz w:val="32"/>
        <w:szCs w:val="32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2803" w:hanging="186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F5F5DB"/>
        <w:spacing w:val="0"/>
        <w:w w:val="56"/>
        <w:sz w:val="28"/>
        <w:szCs w:val="28"/>
        <w:lang w:val="fr-FR" w:eastAsia="en-US" w:bidi="ar-SA"/>
      </w:rPr>
    </w:lvl>
    <w:lvl w:ilvl="2">
      <w:start w:val="1"/>
      <w:numFmt w:val="lowerLetter"/>
      <w:lvlText w:val="%3."/>
      <w:lvlJc w:val="left"/>
      <w:pPr>
        <w:ind w:left="3460" w:hanging="30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BEF5A6"/>
        <w:spacing w:val="-1"/>
        <w:w w:val="64"/>
        <w:sz w:val="28"/>
        <w:szCs w:val="2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0" w:hanging="30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60" w:hanging="30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97" w:hanging="30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5" w:hanging="30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30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0" w:hanging="304"/>
      </w:pPr>
      <w:rPr>
        <w:rFonts w:hint="default"/>
        <w:lang w:val="fr-FR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isplayBackgroundShape/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143" w:hanging="1083"/>
      <w:outlineLvl w:val="1"/>
    </w:pPr>
    <w:rPr>
      <w:rFonts w:ascii="Trebuchet MS" w:hAnsi="Trebuchet MS" w:eastAsia="Trebuchet MS" w:cs="Trebuchet MS"/>
      <w:sz w:val="85"/>
      <w:szCs w:val="85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352"/>
      <w:ind w:left="3053"/>
      <w:outlineLvl w:val="2"/>
    </w:pPr>
    <w:rPr>
      <w:rFonts w:ascii="Trebuchet MS" w:hAnsi="Trebuchet MS" w:eastAsia="Trebuchet MS" w:cs="Trebuchet MS"/>
      <w:b/>
      <w:bCs/>
      <w:sz w:val="57"/>
      <w:szCs w:val="57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88"/>
      <w:ind w:left="2725"/>
      <w:outlineLvl w:val="3"/>
    </w:pPr>
    <w:rPr>
      <w:rFonts w:ascii="Trebuchet MS" w:hAnsi="Trebuchet MS" w:eastAsia="Trebuchet MS" w:cs="Trebuchet MS"/>
      <w:b/>
      <w:bCs/>
      <w:sz w:val="49"/>
      <w:szCs w:val="49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42"/>
      <w:ind w:left="20"/>
      <w:outlineLvl w:val="4"/>
    </w:pPr>
    <w:rPr>
      <w:rFonts w:ascii="Trebuchet MS" w:hAnsi="Trebuchet MS" w:eastAsia="Trebuchet MS" w:cs="Trebuchet MS"/>
      <w:b/>
      <w:bCs/>
      <w:sz w:val="42"/>
      <w:szCs w:val="42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803"/>
      <w:outlineLvl w:val="5"/>
    </w:pPr>
    <w:rPr>
      <w:rFonts w:ascii="Trebuchet MS" w:hAnsi="Trebuchet MS" w:eastAsia="Trebuchet MS" w:cs="Trebuchet MS"/>
      <w:b/>
      <w:bCs/>
      <w:sz w:val="40"/>
      <w:szCs w:val="40"/>
      <w:u w:val="single" w:color="000000"/>
      <w:lang w:val="fr-FR" w:eastAsia="en-US" w:bidi="ar-SA"/>
    </w:rPr>
  </w:style>
  <w:style w:styleId="Heading6" w:type="paragraph">
    <w:name w:val="Heading 6"/>
    <w:basedOn w:val="Normal"/>
    <w:uiPriority w:val="1"/>
    <w:qFormat/>
    <w:pPr>
      <w:spacing w:before="126"/>
      <w:ind w:left="3053"/>
      <w:outlineLvl w:val="6"/>
    </w:pPr>
    <w:rPr>
      <w:rFonts w:ascii="Trebuchet MS" w:hAnsi="Trebuchet MS" w:eastAsia="Trebuchet MS" w:cs="Trebuchet MS"/>
      <w:b/>
      <w:bCs/>
      <w:sz w:val="37"/>
      <w:szCs w:val="37"/>
      <w:lang w:val="fr-FR" w:eastAsia="en-US" w:bidi="ar-SA"/>
    </w:rPr>
  </w:style>
  <w:style w:styleId="Heading7" w:type="paragraph">
    <w:name w:val="Heading 7"/>
    <w:basedOn w:val="Normal"/>
    <w:uiPriority w:val="1"/>
    <w:qFormat/>
    <w:pPr>
      <w:ind w:left="960"/>
      <w:outlineLvl w:val="7"/>
    </w:pPr>
    <w:rPr>
      <w:rFonts w:ascii="Trebuchet MS" w:hAnsi="Trebuchet MS" w:eastAsia="Trebuchet MS" w:cs="Trebuchet MS"/>
      <w:b/>
      <w:bCs/>
      <w:sz w:val="36"/>
      <w:szCs w:val="36"/>
      <w:lang w:val="fr-FR" w:eastAsia="en-US" w:bidi="ar-SA"/>
    </w:rPr>
  </w:style>
  <w:style w:styleId="Heading8" w:type="paragraph">
    <w:name w:val="Heading 8"/>
    <w:basedOn w:val="Normal"/>
    <w:uiPriority w:val="1"/>
    <w:qFormat/>
    <w:pPr>
      <w:ind w:left="1190"/>
      <w:outlineLvl w:val="8"/>
    </w:pPr>
    <w:rPr>
      <w:rFonts w:ascii="Trebuchet MS" w:hAnsi="Trebuchet MS" w:eastAsia="Trebuchet MS" w:cs="Trebuchet MS"/>
      <w:b/>
      <w:bCs/>
      <w:sz w:val="36"/>
      <w:szCs w:val="36"/>
      <w:lang w:val="fr-FR" w:eastAsia="en-US" w:bidi="ar-SA"/>
    </w:rPr>
  </w:style>
  <w:style w:styleId="Heading9" w:type="paragraph">
    <w:name w:val="Heading 9"/>
    <w:basedOn w:val="Normal"/>
    <w:uiPriority w:val="1"/>
    <w:qFormat/>
    <w:pPr>
      <w:spacing w:before="122"/>
      <w:ind w:left="3360"/>
      <w:outlineLvl w:val="9"/>
    </w:pPr>
    <w:rPr>
      <w:rFonts w:ascii="Trebuchet MS" w:hAnsi="Trebuchet MS" w:eastAsia="Trebuchet MS" w:cs="Trebuchet MS"/>
      <w:b/>
      <w:bCs/>
      <w:sz w:val="33"/>
      <w:szCs w:val="33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73"/>
      <w:ind w:left="1302" w:hanging="182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46" Type="http://schemas.openxmlformats.org/officeDocument/2006/relationships/hyperlink" Target="mailto:contact@gss-securite.fr" TargetMode="External"/><Relationship Id="rId227" Type="http://schemas.openxmlformats.org/officeDocument/2006/relationships/numbering" Target="numbering.xml"/><Relationship Id="rIdHdrGss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MARCHANI</dc:creator>
  <cp:keywords>DAHGWW38-ao,BAEVxNxaSuA,0</cp:keywords>
  <dc:title>AO PARC EXPO</dc:title>
  <dcterms:created xsi:type="dcterms:W3CDTF">2026-06-04T12:34:01Z</dcterms:created>
  <dcterms:modified xsi:type="dcterms:W3CDTF">2026-06-04T12:34:01Z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2026-06-04T00:00:00Z</vt:filetime>
  </property>
  <property fmtid="{D5CDD505-2E9C-101B-9397-08002B2CF9AE}" pid="5" name="Producer">
    <vt:lpwstr>Canva</vt:lpwstr>
  </property>
  <property fmtid="{D5CDD505-2E9C-101B-9397-08002B2CF9AE}" pid="6" name="containsAiGeneratedContent">
    <vt:lpwstr>Yes</vt:lpwstr>
  </property>
</Properties>
</file>