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Le présent cadre de réponse est à compléter par le candidat et à joindre à son offre.</w:t>
      </w:r>
    </w:p>
    <w:p>
      <w:r>
        <w:t xml:space="preserve">1. Moyens humains</w:t>
      </w:r>
    </w:p>
    <w:p>
      <w:r>
        <w:t xml:space="preserve">2. Moyens matériels</w:t>
      </w:r>
    </w:p>
    <w:p>
      <w:r>
        <w:t xml:space="preserve">3. Organisation et contrôle</w:t>
      </w:r>
    </w:p>
  </w:body>
</w:document>
</file>