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80"/>
        <w:gridCol w:w="3000"/>
      </w:tblGrid>
      <w:tr>
        <w:tc>
          <w:tcPr>
            <w:tcW w:type="dxa" w:w="7080"/>
            <w:tcBorders>
              <w:top w:val="none"/>
              <w:left w:val="none"/>
              <w:bottom w:val="none"/>
              <w:right w:val="none"/>
            </w:tcBorders>
            <w:shd w:fill="1E3A5F" w:val="clear"/>
            <w:tcMar>
              <w:top w:type="dxa" w:w="200"/>
              <w:left w:type="dxa" w:w="300"/>
              <w:bottom w:type="dxa" w:w="200"/>
              <w:right w:type="dxa" w:w="2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52"/>
                <w:szCs w:val="52"/>
              </w:rPr>
              <w:t xml:space="preserve">Dr. Magesh Kasthuri</w:t>
            </w:r>
          </w:p>
          <w:p>
            <w:r>
              <w:rPr>
                <w:rFonts w:ascii="Calibri" w:cs="Calibri" w:eastAsia="Calibri" w:hAnsi="Calibri"/>
                <w:color w:val="CADCFC"/>
                <w:sz w:val="22"/>
                <w:szCs w:val="22"/>
              </w:rPr>
              <w:t xml:space="preserve">Ph.D. | Distinguished Member of Technical Staff (Master)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CADCFC"/>
                <w:sz w:val="20"/>
                <w:szCs w:val="20"/>
              </w:rPr>
              <w:t xml:space="preserve">Chief Architect (Cloud) &amp; Chief Technologist  |  Wipro Limited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18"/>
                <w:szCs w:val="18"/>
              </w:rPr>
              <w:t xml:space="preserve">26+ Years IT Experience  •  22+ Years at Wipro  •  IEEE &amp; ACM Senior Member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  <w:shd w:fill="0D2640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pacing w:val="40"/>
                <w:sz w:val="16"/>
                <w:szCs w:val="16"/>
              </w:rPr>
              <w:t xml:space="preserve">THOUGHT LEADER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&amp;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pacing w:val="40"/>
                <w:sz w:val="16"/>
                <w:szCs w:val="16"/>
              </w:rPr>
              <w:t xml:space="preserve">PROLIFIC AUTHOR</w:t>
            </w:r>
          </w:p>
          <w:p>
            <w:pPr>
              <w:spacing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200+ Publications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CADCFC"/>
                <w:sz w:val="16"/>
                <w:szCs w:val="16"/>
              </w:rPr>
              <w:t xml:space="preserve">Across Global Platforms</w:t>
            </w:r>
          </w:p>
        </w:tc>
      </w:tr>
    </w:tbl>
    <w:p>
      <w:pPr>
        <w:spacing w:after="60" w:before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shd w:fill="EEF3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16"/>
                <w:szCs w:val="16"/>
              </w:rPr>
              <w:t xml:space="preserve">CIO.com
Articles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shd w:fill="EEF3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52"/>
                <w:szCs w:val="52"/>
              </w:rPr>
              <w:t xml:space="preserve">16+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16"/>
                <w:szCs w:val="16"/>
              </w:rPr>
              <w:t xml:space="preserve">CXOTech
Articles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shd w:fill="EEF3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52"/>
                <w:szCs w:val="52"/>
              </w:rPr>
              <w:t xml:space="preserve">18+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16"/>
                <w:szCs w:val="16"/>
              </w:rPr>
              <w:t xml:space="preserve">Arch &amp; Gov
Articles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shd w:fill="EEF3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52"/>
                <w:szCs w:val="52"/>
              </w:rPr>
              <w:t xml:space="preserve">50+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16"/>
                <w:szCs w:val="16"/>
              </w:rPr>
              <w:t xml:space="preserve">Open Source
For You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shd w:fill="EEF3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52"/>
                <w:szCs w:val="52"/>
              </w:rPr>
              <w:t xml:space="preserve">35+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16"/>
                <w:szCs w:val="16"/>
              </w:rPr>
              <w:t xml:space="preserve">Wipro Tech
Blogs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shd w:fill="EEF3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52"/>
                <w:szCs w:val="52"/>
              </w:rPr>
              <w:t xml:space="preserve">1000+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16"/>
                <w:szCs w:val="16"/>
              </w:rPr>
              <w:t xml:space="preserve">LinkedIn
Shorticles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shd w:fill="EEF3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52"/>
                <w:szCs w:val="52"/>
              </w:rPr>
              <w:t xml:space="preserve">5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16"/>
                <w:szCs w:val="16"/>
              </w:rPr>
              <w:t xml:space="preserve">Patents
(US/Euro)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shd w:fill="EEF3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52"/>
                <w:szCs w:val="52"/>
              </w:rPr>
              <w:t xml:space="preserve">13+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16"/>
                <w:szCs w:val="16"/>
              </w:rPr>
              <w:t xml:space="preserve">Certifications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shd w:fill="EEF3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52"/>
                <w:szCs w:val="52"/>
              </w:rPr>
              <w:t xml:space="preserve">3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16"/>
                <w:szCs w:val="16"/>
              </w:rPr>
              <w:t xml:space="preserve">Published
Books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shd w:fill="EEF3F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52"/>
                <w:szCs w:val="52"/>
              </w:rPr>
              <w:t xml:space="preserve">26+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3A5F"/>
                <w:sz w:val="16"/>
                <w:szCs w:val="16"/>
              </w:rPr>
              <w:t xml:space="preserve">Years
Experience</w:t>
            </w:r>
          </w:p>
        </w:tc>
      </w:tr>
    </w:tbl>
    <w:p>
      <w:pPr>
        <w:spacing w:before="20"/>
      </w:pPr>
    </w:p>
    <w:p>
      <w:pPr>
        <w:pBdr>
          <w:bottom w:val="single" w:color="C9A84C" w:sz="3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E3A5F"/>
          <w:spacing w:val="40"/>
          <w:sz w:val="22"/>
          <w:szCs w:val="22"/>
        </w:rPr>
        <w:t xml:space="preserve">AREAS OF EXPERTISE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Agentic AI &amp; Generative 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Cloud Architecture (AWS, Azure, GCP)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FinOps &amp; GreenOps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Enterprise Architecture</w:t>
            </w:r>
          </w:p>
        </w:tc>
        <w:tc>
          <w:tcPr>
            <w:tcW w:type="dxa" w:w="33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Blockchain &amp; Distributed Ledger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LLM/SLM Development &amp; Optimization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Big Data &amp; Data Architecture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DevOps &amp; Cloud Native Solutions</w:t>
            </w:r>
          </w:p>
        </w:tc>
        <w:tc>
          <w:tcPr>
            <w:tcW w:type="dxa" w:w="336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00"/>
              <w:bottom w:type="dxa" w:w="40"/>
              <w:right w:type="dxa" w:w="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BFSI Domain Architecture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Metaverse &amp; Quantum Computing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AI/ML &amp; Deep Learning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IoT &amp; Edge Computing</w:t>
            </w:r>
          </w:p>
        </w:tc>
      </w:tr>
    </w:tbl>
    <w:p>
      <w:pPr>
        <w:pBdr>
          <w:bottom w:val="single" w:color="C9A84C" w:sz="3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E3A5F"/>
          <w:spacing w:val="40"/>
          <w:sz w:val="22"/>
          <w:szCs w:val="22"/>
        </w:rPr>
        <w:t xml:space="preserve">PUBLISHED ARTICLES BY PLATFORM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900"/>
        <w:gridCol w:w="5660"/>
        <w:gridCol w:w="720"/>
      </w:tblGrid>
      <w:tr>
        <w:tc>
          <w:tcPr>
            <w:tcW w:type="dxa" w:w="2800"/>
            <w:tcBorders>
              <w:top w:val="none"/>
              <w:left w:val="none"/>
              <w:bottom w:val="none"/>
              <w:right w:val="none"/>
            </w:tcBorders>
            <w:shd w:fill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PLATFORM</w:t>
            </w:r>
          </w:p>
        </w:tc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5660"/>
            <w:tcBorders>
              <w:top w:val="none"/>
              <w:left w:val="none"/>
              <w:bottom w:val="none"/>
              <w:right w:val="none"/>
            </w:tcBorders>
            <w:shd w:fill="1E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TOPICS COVERED</w:t>
            </w:r>
          </w:p>
        </w:tc>
        <w:tc>
          <w:tcPr>
            <w:tcW w:type="dxa" w:w="720"/>
            <w:tcBorders>
              <w:top w:val="none"/>
              <w:left w:val="none"/>
              <w:bottom w:val="none"/>
              <w:right w:val="none"/>
            </w:tcBorders>
            <w:shd w:fill="1E3A5F" w:val="clear"/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  <w:tr>
        <w:tc>
          <w:tcPr>
            <w:tcW w:type="dxa" w:w="28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18"/>
                <w:szCs w:val="18"/>
              </w:rPr>
              <w:t xml:space="preserve">CIO.com</w:t>
            </w:r>
          </w:p>
        </w:tc>
        <w:tc>
          <w:tcPr>
            <w:tcW w:type="dxa" w:w="9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12</w:t>
            </w:r>
          </w:p>
        </w:tc>
        <w:tc>
          <w:tcPr>
            <w:tcW w:type="dxa" w:w="566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A4A6A"/>
                <w:sz w:val="17"/>
                <w:szCs w:val="17"/>
              </w:rPr>
              <w:t xml:space="preserve">Agentic AI, LLMs, SDLC transformation, Enterprise Architecture, Cloud FinOps</w:t>
            </w:r>
          </w:p>
        </w:tc>
      </w:tr>
      <w:tr>
        <w:tc>
          <w:tcPr>
            <w:tcW w:type="dxa" w:w="28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18"/>
                <w:szCs w:val="18"/>
              </w:rPr>
              <w:t xml:space="preserve">CXOTech Magazine</w:t>
            </w:r>
          </w:p>
        </w:tc>
        <w:tc>
          <w:tcPr>
            <w:tcW w:type="dxa" w:w="9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16+</w:t>
            </w:r>
          </w:p>
        </w:tc>
        <w:tc>
          <w:tcPr>
            <w:tcW w:type="dxa" w:w="566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A4A6A"/>
                <w:sz w:val="17"/>
                <w:szCs w:val="17"/>
              </w:rPr>
              <w:t xml:space="preserve">AI/ML, GenAI, FinOps, SDLC, SLMs, Vibe Coding, AI Center of Excellence</w:t>
            </w:r>
          </w:p>
        </w:tc>
      </w:tr>
      <w:tr>
        <w:tc>
          <w:tcPr>
            <w:tcW w:type="dxa" w:w="28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18"/>
                <w:szCs w:val="18"/>
              </w:rPr>
              <w:t xml:space="preserve">Architecture &amp; Governance</w:t>
            </w:r>
          </w:p>
        </w:tc>
        <w:tc>
          <w:tcPr>
            <w:tcW w:type="dxa" w:w="9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18+</w:t>
            </w:r>
          </w:p>
        </w:tc>
        <w:tc>
          <w:tcPr>
            <w:tcW w:type="dxa" w:w="566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A4A6A"/>
                <w:sz w:val="17"/>
                <w:szCs w:val="17"/>
              </w:rPr>
              <w:t xml:space="preserve">GenAI, Cloud, FinOps/GreenOps, Microservices, LLM/SLM, BFSI</w:t>
            </w:r>
          </w:p>
        </w:tc>
      </w:tr>
      <w:tr>
        <w:tc>
          <w:tcPr>
            <w:tcW w:type="dxa" w:w="28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18"/>
                <w:szCs w:val="18"/>
              </w:rPr>
              <w:t xml:space="preserve">Open Source For You</w:t>
            </w:r>
          </w:p>
        </w:tc>
        <w:tc>
          <w:tcPr>
            <w:tcW w:type="dxa" w:w="9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50+</w:t>
            </w:r>
          </w:p>
        </w:tc>
        <w:tc>
          <w:tcPr>
            <w:tcW w:type="dxa" w:w="566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A4A6A"/>
                <w:sz w:val="17"/>
                <w:szCs w:val="17"/>
              </w:rPr>
              <w:t xml:space="preserve">Cloud, Blockchain, AI/ML, Java, Quantum Computing, DevOps, IoT</w:t>
            </w:r>
          </w:p>
        </w:tc>
      </w:tr>
      <w:tr>
        <w:tc>
          <w:tcPr>
            <w:tcW w:type="dxa" w:w="28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18"/>
                <w:szCs w:val="18"/>
              </w:rPr>
              <w:t xml:space="preserve">Wipro Tech Blogs (Medium)</w:t>
            </w:r>
          </w:p>
        </w:tc>
        <w:tc>
          <w:tcPr>
            <w:tcW w:type="dxa" w:w="9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35+</w:t>
            </w:r>
          </w:p>
        </w:tc>
        <w:tc>
          <w:tcPr>
            <w:tcW w:type="dxa" w:w="566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A4A6A"/>
                <w:sz w:val="17"/>
                <w:szCs w:val="17"/>
              </w:rPr>
              <w:t xml:space="preserve">Agentic AI, AWS/Azure/GCP, FinOps, BFSI, Multi-agent solutions</w:t>
            </w:r>
          </w:p>
        </w:tc>
      </w:tr>
      <w:tr>
        <w:tc>
          <w:tcPr>
            <w:tcW w:type="dxa" w:w="28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18"/>
                <w:szCs w:val="18"/>
              </w:rPr>
              <w:t xml:space="preserve">Electronics For You</w:t>
            </w:r>
          </w:p>
        </w:tc>
        <w:tc>
          <w:tcPr>
            <w:tcW w:type="dxa" w:w="9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6</w:t>
            </w:r>
          </w:p>
        </w:tc>
        <w:tc>
          <w:tcPr>
            <w:tcW w:type="dxa" w:w="566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A4A6A"/>
                <w:sz w:val="17"/>
                <w:szCs w:val="17"/>
              </w:rPr>
              <w:t xml:space="preserve">Drones, Blockchain, Autonomous vehicles, LiDAR</w:t>
            </w:r>
          </w:p>
        </w:tc>
      </w:tr>
      <w:tr>
        <w:tc>
          <w:tcPr>
            <w:tcW w:type="dxa" w:w="28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18"/>
                <w:szCs w:val="18"/>
              </w:rPr>
              <w:t xml:space="preserve">DZone</w:t>
            </w:r>
          </w:p>
        </w:tc>
        <w:tc>
          <w:tcPr>
            <w:tcW w:type="dxa" w:w="9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6+</w:t>
            </w:r>
          </w:p>
        </w:tc>
        <w:tc>
          <w:tcPr>
            <w:tcW w:type="dxa" w:w="566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A4A6A"/>
                <w:sz w:val="17"/>
                <w:szCs w:val="17"/>
              </w:rPr>
              <w:t xml:space="preserve">Java, Kubernetes, Cloud Integration, Enterprise Data Architecture</w:t>
            </w:r>
          </w:p>
        </w:tc>
      </w:tr>
      <w:tr>
        <w:tc>
          <w:tcPr>
            <w:tcW w:type="dxa" w:w="28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18"/>
                <w:szCs w:val="18"/>
              </w:rPr>
              <w:t xml:space="preserve">Enlore / Tealfeed</w:t>
            </w:r>
          </w:p>
        </w:tc>
        <w:tc>
          <w:tcPr>
            <w:tcW w:type="dxa" w:w="9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25+</w:t>
            </w:r>
          </w:p>
        </w:tc>
        <w:tc>
          <w:tcPr>
            <w:tcW w:type="dxa" w:w="566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A4A6A"/>
                <w:sz w:val="17"/>
                <w:szCs w:val="17"/>
              </w:rPr>
              <w:t xml:space="preserve">Generative AI, FinOps, Cloud strategy, Multi-cloud, GreenOps</w:t>
            </w:r>
          </w:p>
        </w:tc>
      </w:tr>
      <w:tr>
        <w:tc>
          <w:tcPr>
            <w:tcW w:type="dxa" w:w="28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18"/>
                <w:szCs w:val="18"/>
              </w:rPr>
              <w:t xml:space="preserve">Cutter IT Journal (US)</w:t>
            </w:r>
          </w:p>
        </w:tc>
        <w:tc>
          <w:tcPr>
            <w:tcW w:type="dxa" w:w="9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2</w:t>
            </w:r>
          </w:p>
        </w:tc>
        <w:tc>
          <w:tcPr>
            <w:tcW w:type="dxa" w:w="566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A4A6A"/>
                <w:sz w:val="17"/>
                <w:szCs w:val="17"/>
              </w:rPr>
              <w:t xml:space="preserve">Blockchain as a Service, FinTech, SmartCity Architecture</w:t>
            </w:r>
          </w:p>
        </w:tc>
      </w:tr>
      <w:tr>
        <w:tc>
          <w:tcPr>
            <w:tcW w:type="dxa" w:w="28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shd w:fill="EEF3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3A5F"/>
                <w:sz w:val="18"/>
                <w:szCs w:val="18"/>
              </w:rPr>
              <w:t xml:space="preserve">LinkedIn #Shorticle</w:t>
            </w:r>
          </w:p>
        </w:tc>
        <w:tc>
          <w:tcPr>
            <w:tcW w:type="dxa" w:w="90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1000+</w:t>
            </w:r>
          </w:p>
        </w:tc>
        <w:tc>
          <w:tcPr>
            <w:tcW w:type="dxa" w:w="5660"/>
            <w:tcBorders>
              <w:top w:val="single" w:color="D0D8E8" w:sz="1"/>
              <w:left w:val="single" w:color="D0D8E8" w:sz="1"/>
              <w:bottom w:val="single" w:color="D0D8E8" w:sz="1"/>
              <w:right w:val="single" w:color="D0D8E8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4A4A6A"/>
                <w:sz w:val="17"/>
                <w:szCs w:val="17"/>
              </w:rPr>
              <w:t xml:space="preserve">Enterprise Architecture, Cloud, Blockchain, Big Data, AIML</w:t>
            </w:r>
          </w:p>
        </w:tc>
      </w:tr>
    </w:tbl>
    <w:p>
      <w:pPr>
        <w:pBdr>
          <w:bottom w:val="single" w:color="C9A84C" w:sz="3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E3A5F"/>
          <w:spacing w:val="40"/>
          <w:sz w:val="22"/>
          <w:szCs w:val="22"/>
        </w:rPr>
        <w:t xml:space="preserve">CAREER HIGHLIGHTS &amp; RECOGNITION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20"/>
        <w:gridCol w:w="4920"/>
        <w:gridCol w:w="240"/>
      </w:tblGrid>
      <w:tr>
        <w:tc>
          <w:tcPr>
            <w:tcW w:type="dxa" w:w="492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Elevated to DMTS Master community (Top 25 Technologists at Wipro) from 2019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Global Charter Lead for entire DMTS community from 2025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5 US/Euro patents granted — inventor of one of Wipro's first Blockchain patents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Twice awarded by Credit Suisse for excellence in 2016 &amp; 2017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8x 'Best Knowledge Expert' award; 2x Outstanding Contribution at Wipro In-sync (Zurich)</w:t>
            </w:r>
          </w:p>
        </w:tc>
        <w:tc>
          <w:tcPr>
            <w:tcW w:type="dxa" w:w="492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Ph.D. in Deep Learning &amp; Genetic Algorithms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13+ industry certifications across Azure, AWS, GCP, Blockchain, FinOps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3 published books (Shorticle series) in 7 languages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Invited speaker at international conferences in Zurich, Switzerland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Published in peer-reviewed journals: SCOPUS, Springer, IEEE, AJCST</w:t>
            </w:r>
          </w:p>
        </w:tc>
        <w:tc>
          <w:tcPr>
            <w:tcW w:type="dxa" w:w="2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p>
      <w:pPr>
        <w:pBdr>
          <w:bottom w:val="single" w:color="C9A84C" w:sz="3" w:space="1"/>
        </w:pBdr>
        <w:spacing w:after="60" w:before="160"/>
      </w:pPr>
      <w:r>
        <w:rPr>
          <w:rFonts w:ascii="Calibri" w:cs="Calibri" w:eastAsia="Calibri" w:hAnsi="Calibri"/>
          <w:b/>
          <w:bCs/>
          <w:color w:val="1E3A5F"/>
          <w:spacing w:val="40"/>
          <w:sz w:val="22"/>
          <w:szCs w:val="22"/>
        </w:rPr>
        <w:t xml:space="preserve">KEY CERTIFICATIONS &amp; PROFESSIONAL AFFILIATIONS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0"/>
        <w:gridCol w:w="3260"/>
        <w:gridCol w:w="3260"/>
        <w:gridCol w:w="300"/>
      </w:tblGrid>
      <w:tr>
        <w:tc>
          <w:tcPr>
            <w:tcW w:type="dxa" w:w="326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Microsoft: Azure Architect, AI Engineer, Data Scientist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AWS: Machine Learning Specialty, Architect Associate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Google Certified Digital Leader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Oracle: GenAI Professional, Vector AI Search Professional</w:t>
            </w:r>
          </w:p>
        </w:tc>
        <w:tc>
          <w:tcPr>
            <w:tcW w:type="dxa" w:w="326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80"/>
              <w:bottom w:type="dxa" w:w="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FinOps Certified Practitioner &amp; FOCUS Analyst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IBM Certified Big Data Architect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Blockchain Council Certified Expert V2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Microsoft Certified Trainer (2020 onwards)</w:t>
            </w:r>
          </w:p>
        </w:tc>
        <w:tc>
          <w:tcPr>
            <w:tcW w:type="dxa" w:w="326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IEEE Senior Member (No. 91099612)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ACM Senior Member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Oracle JSR Member; Java Community Process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The OpenGroup INITIATE Whitepaper Contributor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p>
      <w:pPr>
        <w:spacing w:after="0" w:before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  <w:shd w:fill="1E3A5F" w:val="clear"/>
            <w:tcMar>
              <w:top w:type="dxa" w:w="80"/>
              <w:left w:type="dxa" w:w="2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CADCFC"/>
                <w:sz w:val="16"/>
                <w:szCs w:val="16"/>
              </w:rPr>
              <w:t xml:space="preserve">LinkedIn: linkedin.com/in/magesh-kasthuri</w:t>
            </w:r>
          </w:p>
          <w:p>
            <w:r>
              <w:rPr>
                <w:rFonts w:ascii="Calibri" w:cs="Calibri" w:eastAsia="Calibri" w:hAnsi="Calibri"/>
                <w:color w:val="CADCFC"/>
                <w:sz w:val="16"/>
                <w:szCs w:val="16"/>
              </w:rPr>
              <w:t xml:space="preserve">CIO.com: cio.com/profile/magesh-kasthuri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  <w:shd w:fill="1E3A5F" w:val="clear"/>
            <w:tcMar>
              <w:top w:type="dxa" w:w="80"/>
              <w:left w:type="dxa" w:w="100"/>
              <w:bottom w:type="dxa" w:w="80"/>
              <w:right w:type="dxa" w:w="2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CADCFC"/>
                <w:sz w:val="16"/>
                <w:szCs w:val="16"/>
              </w:rPr>
              <w:t xml:space="preserve">ORCID: orcid.org/0000-0001-9581-2543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CADCFC"/>
                <w:sz w:val="16"/>
                <w:szCs w:val="16"/>
              </w:rPr>
              <w:t xml:space="preserve">Google Scholar | ResearchGate | Wipro Tech Blogs</w:t>
            </w:r>
          </w:p>
        </w:tc>
      </w:tr>
    </w:tbl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40"/>
      </w:pPr>
      <w:rPr>
        <w:color w:val="1E3A5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2026-06-01T12:21:48.635Z</dcterms:created>
  <dcterms:modified xsi:type="dcterms:W3CDTF">2026-06-01T12:21:48.635Z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