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left"/>
      </w:pPr>
      <w:r>
        <w:rPr>
          <w:rFonts w:ascii="Calibri" w:cs="Calibri" w:eastAsia="Calibri" w:hAnsi="Calibri"/>
          <w:b/>
          <w:bCs/>
          <w:color w:val="C1592B"/>
          <w:sz w:val="20"/>
          <w:szCs w:val="20"/>
        </w:rPr>
        <w:t xml:space="preserve">PRODUCT REQUIREMENTS DOCUMENT</w:t>
      </w:r>
    </w:p>
    <w:p>
      <w:pPr>
        <w:spacing w:after="200" w:before="200"/>
      </w:pPr>
      <w:r>
        <w:rPr>
          <w:rFonts w:ascii="Calibri" w:cs="Calibri" w:eastAsia="Calibri" w:hAnsi="Calibri"/>
          <w:b/>
          <w:bCs/>
          <w:color w:val="1A1A2E"/>
          <w:sz w:val="56"/>
          <w:szCs w:val="56"/>
        </w:rPr>
        <w:t xml:space="preserve">Healthcare SaaS Management Platform</w:t>
      </w:r>
    </w:p>
    <w:p>
      <w:pPr>
        <w:spacing w:after="600"/>
      </w:pPr>
      <w:r>
        <w:rPr>
          <w:rFonts w:ascii="Calibri" w:cs="Calibri" w:eastAsia="Calibri" w:hAnsi="Calibri"/>
          <w:color w:val="5B6472"/>
          <w:sz w:val="24"/>
          <w:szCs w:val="24"/>
        </w:rPr>
        <w:t xml:space="preserve">A modular, multi-tenant hospital &amp; clinic management system — patient records, scheduling, EMR, billing, and role-based access, built for organizations that need one system their whole staff can actually use.</w:t>
      </w:r>
    </w:p>
    <w:p>
      <w:pPr>
        <w:pBdr>
          <w:top w:val="single" w:color="D8DCE0" w:sz="4" w:space="8"/>
        </w:pBdr>
        <w:spacing w:after="80" w:before="1600"/>
      </w:pPr>
      <w:r>
        <w:rPr>
          <w:rFonts w:ascii="Calibri" w:cs="Calibri" w:eastAsia="Calibri" w:hAnsi="Calibri"/>
          <w:color w:val="5B6472"/>
          <w:sz w:val="18"/>
          <w:szCs w:val="18"/>
        </w:rPr>
        <w:t xml:space="preserve">Prepared by</w:t>
      </w:r>
    </w:p>
    <w:p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Magesh K Palani — Senior UX/UI Product Designer</w:t>
      </w:r>
    </w:p>
    <w:p>
      <w:pPr>
        <w:spacing w:after="40"/>
      </w:pPr>
      <w:r>
        <w:rPr>
          <w:rFonts w:ascii="Calibri" w:cs="Calibri" w:eastAsia="Calibri" w:hAnsi="Calibri"/>
          <w:color w:val="5B6472"/>
          <w:sz w:val="20"/>
          <w:szCs w:val="20"/>
        </w:rPr>
        <w:t xml:space="preserve">Product organization: ABC Healthcare (illustrative multi-branch hospital group)</w:t>
      </w:r>
    </w:p>
    <w:p>
      <w:r>
        <w:rPr>
          <w:rFonts w:ascii="Calibri" w:cs="Calibri" w:eastAsia="Calibri" w:hAnsi="Calibri"/>
          <w:color w:val="5B6472"/>
          <w:sz w:val="20"/>
          <w:szCs w:val="20"/>
        </w:rPr>
        <w:t xml:space="preserve">Document status: Phase 1 — approved &amp; implemented as a working prototype</w:t>
      </w:r>
    </w:p>
    <w:p>
      <w:r>
        <w:rPr>
          <w:rFonts w:ascii="Calibri" w:cs="Calibri" w:eastAsia="Calibri" w:hAnsi="Calibri"/>
          <w:color w:val="5B6472"/>
          <w:sz w:val="20"/>
          <w:szCs w:val="20"/>
        </w:rPr>
        <w:t xml:space="preserve">Version 1.0 — September 2026</w:t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4A57" w:sz="6" w:space="6"/>
        </w:pBdr>
        <w:spacing w:after="200" w:before="480"/>
      </w:pPr>
      <w:r>
        <w:rPr>
          <w:rFonts w:ascii="Calibri" w:cs="Calibri" w:eastAsia="Calibri" w:hAnsi="Calibri"/>
          <w:b/>
          <w:bCs/>
          <w:color w:val="1F4A57"/>
          <w:sz w:val="30"/>
          <w:szCs w:val="30"/>
        </w:rPr>
        <w:t xml:space="preserve">1. Overview &amp; Purpose</w:t>
      </w:r>
    </w:p>
    <w:p>
      <w:pPr>
        <w:spacing w:after="160" w:line="276"/>
      </w:pPr>
      <w:r>
        <w:rPr>
          <w:rFonts w:ascii="Calibri" w:cs="Calibri" w:eastAsia="Calibri" w:hAnsi="Calibri"/>
          <w:i w:val="false"/>
          <w:iCs w:val="false"/>
          <w:color w:val="1A1A2E"/>
          <w:sz w:val="21"/>
          <w:szCs w:val="21"/>
        </w:rPr>
        <w:t xml:space="preserve">Healthcare organizations — hospitals, clinics, diagnostic labs, and pharmacies — run their day-to-day operations across a patchwork of registers, spreadsheets, and disconnected software. This document defines the requirements for a unified Healthcare SaaS Management Platform: a modular, multi-tenant system that lets each organization enable only the modules it needs, while giving every role — from a front-desk receptionist to an organization administrator — a single, purpose-built place to work.</w:t>
      </w:r>
    </w:p>
    <w:p>
      <w:pPr>
        <w:spacing w:after="160" w:line="276"/>
      </w:pPr>
      <w:r>
        <w:rPr>
          <w:rFonts w:ascii="Calibri" w:cs="Calibri" w:eastAsia="Calibri" w:hAnsi="Calibri"/>
          <w:i w:val="false"/>
          <w:iCs w:val="false"/>
          <w:color w:val="1A1A2E"/>
          <w:sz w:val="21"/>
          <w:szCs w:val="21"/>
        </w:rPr>
        <w:t xml:space="preserve">The product is designed around the complete patient journey — registration, appointment, consultation, prescription, billing, and follow-up — rather than as a generic enterprise resource-planning shell relabeled for healthcare. This PRD covers the full product vision, then scopes a concrete Phase 1 MVP that has been designed, built, and browser-verified end to end.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1.1 Problem Statement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Patient records, appointments, and billing often live in separate tools or on paper, with no shared timeline of a patient's care.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Staff roles need very different views of the same system — a receptionist's needs are not a doctor's needs — but most affordable tools offer one-size-fits-all screens.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Multi-branch organizations need consolidated, organization-level visibility without losing branch-level accountability.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Smaller clinics are often priced out of enterprise hospital-information systems designed for the largest hospitals.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1.2 Product Vision</w:t>
      </w:r>
    </w:p>
    <w:p>
      <w:pPr>
        <w:spacing w:after="160" w:line="276"/>
      </w:pPr>
      <w:r>
        <w:rPr>
          <w:rFonts w:ascii="Calibri" w:cs="Calibri" w:eastAsia="Calibri" w:hAnsi="Calibri"/>
          <w:i w:val="false"/>
          <w:iCs w:val="false"/>
          <w:color w:val="1A1A2E"/>
          <w:sz w:val="21"/>
          <w:szCs w:val="21"/>
        </w:rPr>
        <w:t xml:space="preserve">One healthcare operating system that connects patients, doctors, nurses, receptionists, lab staff, pharmacists, billing teams, and administrators — professional and trustworthy enough for daily clinical use, modular enough that a small clinic and a multi-branch hospital group can both run on it, and fast enough that repetitive front-desk and clinical tasks take as few clicks as possible.</w:t>
      </w:r>
    </w:p>
    <w:p>
      <w:pPr>
        <w:pStyle w:val="Heading1"/>
        <w:pBdr>
          <w:bottom w:val="single" w:color="1F4A57" w:sz="6" w:space="6"/>
        </w:pBdr>
        <w:spacing w:after="200" w:before="480"/>
      </w:pPr>
      <w:r>
        <w:rPr>
          <w:rFonts w:ascii="Calibri" w:cs="Calibri" w:eastAsia="Calibri" w:hAnsi="Calibri"/>
          <w:b/>
          <w:bCs/>
          <w:color w:val="1F4A57"/>
          <w:sz w:val="30"/>
          <w:szCs w:val="30"/>
        </w:rPr>
        <w:t xml:space="preserve">2. Goals &amp; Success Criteria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2.1 Product Goals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Give every healthcare role a system built for their specific job, not a generic form-builder repurposed for healthcare.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Model the organization as it really is — multiple branches, departments, and roles — from day one, not bolted on later.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Make the platform modular: an organization's subscription and each user's role should determine exactly which modules and actions are visible.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Keep the architecture honest about its current maturity — a working prototype with a clearly labeled roadmap, not a system that overstates what is production-ready.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2.2 Success Criteria for This Release (Phase 1)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25"/>
        <w:gridCol w:w="3628"/>
        <w:gridCol w:w="3225"/>
      </w:tblGrid>
      <w:tr>
        <w:trPr>
          <w:tblHeader/>
        </w:trPr>
        <w:tc>
          <w:tcPr>
            <w:tcW w:type="dxa" w:w="3225"/>
            <w:shd w:fill="1F4A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3628"/>
            <w:shd w:fill="1F4A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3225"/>
            <w:shd w:fill="1F4A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322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Core modules shipped</w:t>
            </w:r>
          </w:p>
        </w:tc>
        <w:tc>
          <w:tcPr>
            <w:tcW w:type="dxa" w:w="362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6 of 6 planned (Org, Patients, Appointments, Doctors, Consultations, Billing)</w:t>
            </w:r>
          </w:p>
        </w:tc>
        <w:tc>
          <w:tcPr>
            <w:tcW w:type="dxa" w:w="322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Met — plus a live Dashboard &amp; Reports module</w:t>
            </w:r>
          </w:p>
        </w:tc>
      </w:tr>
      <w:tr>
        <w:tc>
          <w:tcPr>
            <w:tcW w:type="dxa" w:w="3225"/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Roles with distinct, verified access</w:t>
            </w:r>
          </w:p>
        </w:tc>
        <w:tc>
          <w:tcPr>
            <w:tcW w:type="dxa" w:w="3628"/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6 core roles</w:t>
            </w:r>
          </w:p>
        </w:tc>
        <w:tc>
          <w:tcPr>
            <w:tcW w:type="dxa" w:w="3225"/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Met — Org Admin, Branch Admin, Doctor, Nurse, Receptionist, Billing Staff</w:t>
            </w:r>
          </w:p>
        </w:tc>
      </w:tr>
      <w:tr>
        <w:tc>
          <w:tcPr>
            <w:tcW w:type="dxa" w:w="322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Named end-to-end flows verified in-browser</w:t>
            </w:r>
          </w:p>
        </w:tc>
        <w:tc>
          <w:tcPr>
            <w:tcW w:type="dxa" w:w="362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3 of 3 (New Patient, Doctor Consultation, Billing)</w:t>
            </w:r>
          </w:p>
        </w:tc>
        <w:tc>
          <w:tcPr>
            <w:tcW w:type="dxa" w:w="322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Met</w:t>
            </w:r>
          </w:p>
        </w:tc>
      </w:tr>
      <w:tr>
        <w:tc>
          <w:tcPr>
            <w:tcW w:type="dxa" w:w="3225"/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Production build correctness</w:t>
            </w:r>
          </w:p>
        </w:tc>
        <w:tc>
          <w:tcPr>
            <w:tcW w:type="dxa" w:w="3628"/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Zero TypeScript errors</w:t>
            </w:r>
          </w:p>
        </w:tc>
        <w:tc>
          <w:tcPr>
            <w:tcW w:type="dxa" w:w="3225"/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Met</w:t>
            </w:r>
          </w:p>
        </w:tc>
      </w:tr>
    </w:tbl>
    <w:p>
      <w:pPr>
        <w:pStyle w:val="Heading1"/>
        <w:pBdr>
          <w:bottom w:val="single" w:color="1F4A57" w:sz="6" w:space="6"/>
        </w:pBdr>
        <w:spacing w:after="200" w:before="480"/>
      </w:pPr>
      <w:r>
        <w:rPr>
          <w:rFonts w:ascii="Calibri" w:cs="Calibri" w:eastAsia="Calibri" w:hAnsi="Calibri"/>
          <w:b/>
          <w:bCs/>
          <w:color w:val="1F4A57"/>
          <w:sz w:val="30"/>
          <w:szCs w:val="30"/>
        </w:rPr>
        <w:t xml:space="preserve">3. Target Users &amp; Roles</w:t>
      </w:r>
    </w:p>
    <w:p>
      <w:pPr>
        <w:spacing w:after="160" w:line="276"/>
      </w:pPr>
      <w:r>
        <w:rPr>
          <w:rFonts w:ascii="Calibri" w:cs="Calibri" w:eastAsia="Calibri" w:hAnsi="Calibri"/>
          <w:i w:val="false"/>
          <w:iCs w:val="false"/>
          <w:color w:val="1A1A2E"/>
          <w:sz w:val="21"/>
          <w:szCs w:val="21"/>
        </w:rPr>
        <w:t xml:space="preserve">The platform serves ten roles across two tiers: staff roles inside a healthcare organization, and the patient. Phase 1 implements full, distinct access for the six roles marked “Phase 1” below; the remaining roles have accounts and a place in the permission model, ready for their modules in later phases.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7"/>
        <w:gridCol w:w="1411"/>
        <w:gridCol w:w="6451"/>
      </w:tblGrid>
      <w:tr>
        <w:trPr>
          <w:tblHeader/>
        </w:trPr>
        <w:tc>
          <w:tcPr>
            <w:tcW w:type="dxa" w:w="2217"/>
            <w:shd w:fill="1F4A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1411"/>
            <w:shd w:fill="1F4A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6451"/>
            <w:shd w:fill="1F4A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Primary needs</w:t>
            </w:r>
          </w:p>
        </w:tc>
      </w:tr>
      <w:tr>
        <w:tc>
          <w:tcPr>
            <w:tcW w:type="dxa" w:w="221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Organization Admin</w:t>
            </w:r>
          </w:p>
        </w:tc>
        <w:tc>
          <w:tcPr>
            <w:tcW w:type="dxa" w:w="141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Phase 1</w:t>
            </w:r>
          </w:p>
        </w:tc>
        <w:tc>
          <w:tcPr>
            <w:tcW w:type="dxa" w:w="645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Full visibility and control across every branch; organization profile, users, and roles.</w:t>
            </w:r>
          </w:p>
        </w:tc>
      </w:tr>
      <w:tr>
        <w:tc>
          <w:tcPr>
            <w:tcW w:type="dxa" w:w="2217"/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Branch Admin</w:t>
            </w:r>
          </w:p>
        </w:tc>
        <w:tc>
          <w:tcPr>
            <w:tcW w:type="dxa" w:w="1411"/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Phase 1</w:t>
            </w:r>
          </w:p>
        </w:tc>
        <w:tc>
          <w:tcPr>
            <w:tcW w:type="dxa" w:w="6451"/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Full operational control scoped to one branch; cannot edit organization-level settings.</w:t>
            </w:r>
          </w:p>
        </w:tc>
      </w:tr>
      <w:tr>
        <w:tc>
          <w:tcPr>
            <w:tcW w:type="dxa" w:w="221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Doctor</w:t>
            </w:r>
          </w:p>
        </w:tc>
        <w:tc>
          <w:tcPr>
            <w:tcW w:type="dxa" w:w="141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Phase 1</w:t>
            </w:r>
          </w:p>
        </w:tc>
        <w:tc>
          <w:tcPr>
            <w:tcW w:type="dxa" w:w="645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Their own appointment queue, patient context, consultation workspace, and prescription tools.</w:t>
            </w:r>
          </w:p>
        </w:tc>
      </w:tr>
      <w:tr>
        <w:tc>
          <w:tcPr>
            <w:tcW w:type="dxa" w:w="2217"/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Nurse</w:t>
            </w:r>
          </w:p>
        </w:tc>
        <w:tc>
          <w:tcPr>
            <w:tcW w:type="dxa" w:w="1411"/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Phase 1</w:t>
            </w:r>
          </w:p>
        </w:tc>
        <w:tc>
          <w:tcPr>
            <w:tcW w:type="dxa" w:w="6451"/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Patient intake support, vitals, and check-in — without financial or admin access.</w:t>
            </w:r>
          </w:p>
        </w:tc>
      </w:tr>
      <w:tr>
        <w:tc>
          <w:tcPr>
            <w:tcW w:type="dxa" w:w="221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Receptionist</w:t>
            </w:r>
          </w:p>
        </w:tc>
        <w:tc>
          <w:tcPr>
            <w:tcW w:type="dxa" w:w="141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Phase 1</w:t>
            </w:r>
          </w:p>
        </w:tc>
        <w:tc>
          <w:tcPr>
            <w:tcW w:type="dxa" w:w="645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Patient registration and the full appointment lifecycle — booking through check-in.</w:t>
            </w:r>
          </w:p>
        </w:tc>
      </w:tr>
      <w:tr>
        <w:tc>
          <w:tcPr>
            <w:tcW w:type="dxa" w:w="2217"/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Billing Staff</w:t>
            </w:r>
          </w:p>
        </w:tc>
        <w:tc>
          <w:tcPr>
            <w:tcW w:type="dxa" w:w="1411"/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Phase 1</w:t>
            </w:r>
          </w:p>
        </w:tc>
        <w:tc>
          <w:tcPr>
            <w:tcW w:type="dxa" w:w="6451"/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Invoicing, payments, refunds, and revenue reporting — without clinical access.</w:t>
            </w:r>
          </w:p>
        </w:tc>
      </w:tr>
      <w:tr>
        <w:tc>
          <w:tcPr>
            <w:tcW w:type="dxa" w:w="221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Lab Technician</w:t>
            </w:r>
          </w:p>
        </w:tc>
        <w:tc>
          <w:tcPr>
            <w:tcW w:type="dxa" w:w="141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Phase 2</w:t>
            </w:r>
          </w:p>
        </w:tc>
        <w:tc>
          <w:tcPr>
            <w:tcW w:type="dxa" w:w="645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Sample intake, processing, and result entry once Laboratory ships.</w:t>
            </w:r>
          </w:p>
        </w:tc>
      </w:tr>
      <w:tr>
        <w:tc>
          <w:tcPr>
            <w:tcW w:type="dxa" w:w="2217"/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Pharmacist</w:t>
            </w:r>
          </w:p>
        </w:tc>
        <w:tc>
          <w:tcPr>
            <w:tcW w:type="dxa" w:w="1411"/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Phase 2</w:t>
            </w:r>
          </w:p>
        </w:tc>
        <w:tc>
          <w:tcPr>
            <w:tcW w:type="dxa" w:w="6451"/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Inventory and prescription fulfilment once Pharmacy ships.</w:t>
            </w:r>
          </w:p>
        </w:tc>
      </w:tr>
      <w:tr>
        <w:tc>
          <w:tcPr>
            <w:tcW w:type="dxa" w:w="221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Patient</w:t>
            </w:r>
          </w:p>
        </w:tc>
        <w:tc>
          <w:tcPr>
            <w:tcW w:type="dxa" w:w="141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Phase 2</w:t>
            </w:r>
          </w:p>
        </w:tc>
        <w:tc>
          <w:tcPr>
            <w:tcW w:type="dxa" w:w="645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Self-service booking, records, and payments via a Patient Portal.</w:t>
            </w:r>
          </w:p>
        </w:tc>
      </w:tr>
      <w:tr>
        <w:tc>
          <w:tcPr>
            <w:tcW w:type="dxa" w:w="2217"/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Super Admin</w:t>
            </w:r>
          </w:p>
        </w:tc>
        <w:tc>
          <w:tcPr>
            <w:tcW w:type="dxa" w:w="1411"/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Phase 4</w:t>
            </w:r>
          </w:p>
        </w:tc>
        <w:tc>
          <w:tcPr>
            <w:tcW w:type="dxa" w:w="6451"/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Platform-level administration across every customer organization.</w:t>
            </w:r>
          </w:p>
        </w:tc>
      </w:tr>
    </w:tbl>
    <w:p>
      <w:pPr>
        <w:pStyle w:val="Heading1"/>
        <w:pBdr>
          <w:bottom w:val="single" w:color="1F4A57" w:sz="6" w:space="6"/>
        </w:pBdr>
        <w:spacing w:after="200" w:before="480"/>
      </w:pPr>
      <w:r>
        <w:rPr>
          <w:rFonts w:ascii="Calibri" w:cs="Calibri" w:eastAsia="Calibri" w:hAnsi="Calibri"/>
          <w:b/>
          <w:bCs/>
          <w:color w:val="1F4A57"/>
          <w:sz w:val="30"/>
          <w:szCs w:val="30"/>
        </w:rPr>
        <w:t xml:space="preserve">4. Scope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4.1 Phase 1 — In Scope (this release)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Organization &amp; branch management — organization profile, multiple branches, departments, users, and roles.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Patient management — registration, search, medical history, and a chronological visit timeline.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Appointment management — Day/Week/Month calendar views, doctor &amp; department filters, full status lifecycle, conflict-checked booking.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Doctor management — directory, working hours &amp; capacity, per-doctor analytics.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Consultation / EMR — a doctor's queue, patient-context workspace, vitals &amp; diagnosis capture, prescription builder with printable output.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Billing &amp; payments — invoicing from a consultation or ad-hoc, partial/full payments with an overpayment guard, refunds, printable receipts.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Dashboard &amp; reports — KPIs, revenue &amp; appointment trends, department/doctor performance, CSV export.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Role-based access control — permission enforcement at the navigation, page, and server-action layers.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4.2 Explicitly Out of Scope for Phase 1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Laboratory Information Management (test catalogue, sample tracking, result entry) — Phase 2.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Pharmacy Management (inventory, dispensing, stock alerts) — Phase 2.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Patient Portal (patient self-service login) — Phase 2.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Telemedicine, CRM &amp; patient engagement automation, advanced analytics — Phase 3.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Third-party integrations, AI-assisted workflows, and the Super Admin / platform-billing console — Phase 4.</w:t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1A1A2E"/>
          <w:sz w:val="21"/>
          <w:szCs w:val="21"/>
        </w:rPr>
        <w:t xml:space="preserve">These modules are visible in the navigation as clearly labeled “Phase 2” / “Phase 3” placeholders rather than omitted silently, so the product roadmap is legible to anyone using the system.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4.3 Roadmap Beyond Phase 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8265"/>
      </w:tblGrid>
      <w:tr>
        <w:trPr>
          <w:tblHeader/>
        </w:trPr>
        <w:tc>
          <w:tcPr>
            <w:tcW w:type="dxa" w:w="1814"/>
            <w:shd w:fill="1F4A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8265"/>
            <w:shd w:fill="1F4A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Adds</w:t>
            </w:r>
          </w:p>
        </w:tc>
      </w:tr>
      <w:tr>
        <w:tc>
          <w:tcPr>
            <w:tcW w:type="dxa" w:w="181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Phase 2</w:t>
            </w:r>
          </w:p>
        </w:tc>
        <w:tc>
          <w:tcPr>
            <w:tcW w:type="dxa" w:w="826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Laboratory, Pharmacy, Patient Portal, Notifications</w:t>
            </w:r>
          </w:p>
        </w:tc>
      </w:tr>
      <w:tr>
        <w:tc>
          <w:tcPr>
            <w:tcW w:type="dxa" w:w="1814"/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Phase 3</w:t>
            </w:r>
          </w:p>
        </w:tc>
        <w:tc>
          <w:tcPr>
            <w:tcW w:type="dxa" w:w="8265"/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Telemedicine, CRM &amp; Patient Engagement, Advanced Analytics, Multi-branch depth</w:t>
            </w:r>
          </w:p>
        </w:tc>
      </w:tr>
      <w:tr>
        <w:tc>
          <w:tcPr>
            <w:tcW w:type="dxa" w:w="181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Phase 4</w:t>
            </w:r>
          </w:p>
        </w:tc>
        <w:tc>
          <w:tcPr>
            <w:tcW w:type="dxa" w:w="826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Third-party integrations, AI-assisted workflows, Super Admin console, subscription billing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A57" w:sz="6" w:space="6"/>
        </w:pBdr>
        <w:spacing w:after="200" w:before="480"/>
      </w:pPr>
      <w:r>
        <w:rPr>
          <w:rFonts w:ascii="Calibri" w:cs="Calibri" w:eastAsia="Calibri" w:hAnsi="Calibri"/>
          <w:b/>
          <w:bCs/>
          <w:color w:val="1F4A57"/>
          <w:sz w:val="30"/>
          <w:szCs w:val="30"/>
        </w:rPr>
        <w:t xml:space="preserve">5. Functional Requirements</w:t>
      </w:r>
    </w:p>
    <w:p>
      <w:pPr>
        <w:spacing w:after="160" w:line="276"/>
      </w:pPr>
      <w:r>
        <w:rPr>
          <w:rFonts w:ascii="Calibri" w:cs="Calibri" w:eastAsia="Calibri" w:hAnsi="Calibri"/>
          <w:i w:val="false"/>
          <w:iCs w:val="false"/>
          <w:color w:val="1A1A2E"/>
          <w:sz w:val="21"/>
          <w:szCs w:val="21"/>
        </w:rPr>
        <w:t xml:space="preserve">Each module below is stated as what the system must do, in the language of the role that uses it, with the concrete behavior that was designed and implemented.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5.1 Organization &amp; Administration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7258"/>
      </w:tblGrid>
      <w:tr>
        <w:trPr>
          <w:tblHeader/>
        </w:trPr>
        <w:tc>
          <w:tcPr>
            <w:tcW w:type="dxa" w:w="2822"/>
            <w:shd w:fill="1F4A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type="dxa" w:w="7258"/>
            <w:shd w:fill="1F4A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2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Organization profile</w:t>
            </w:r>
          </w:p>
        </w:tc>
        <w:tc>
          <w:tcPr>
            <w:tcW w:type="dxa" w:w="725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Name, registration number, contact details, editable by roles with organization-level permission.</w:t>
            </w:r>
          </w:p>
        </w:tc>
      </w:tr>
      <w:tr>
        <w:tc>
          <w:tcPr>
            <w:tcW w:type="dxa" w:w="2822"/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Branches</w:t>
            </w:r>
          </w:p>
        </w:tc>
        <w:tc>
          <w:tcPr>
            <w:tcW w:type="dxa" w:w="7258"/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Create and list branches, each with its own address, phone, and active status.</w:t>
            </w:r>
          </w:p>
        </w:tc>
      </w:tr>
      <w:tr>
        <w:tc>
          <w:tcPr>
            <w:tcW w:type="dxa" w:w="282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Departments</w:t>
            </w:r>
          </w:p>
        </w:tc>
        <w:tc>
          <w:tcPr>
            <w:tcW w:type="dxa" w:w="725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Create departments scoped to a branch (e.g. Cardiology at the Bangalore branch).</w:t>
            </w:r>
          </w:p>
        </w:tc>
      </w:tr>
      <w:tr>
        <w:tc>
          <w:tcPr>
            <w:tcW w:type="dxa" w:w="2822"/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Users &amp; roles</w:t>
            </w:r>
          </w:p>
        </w:tc>
        <w:tc>
          <w:tcPr>
            <w:tcW w:type="dxa" w:w="7258"/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Create staff accounts, assign a role and a home branch (or organization-wide access), activate/deactivate.</w:t>
            </w:r>
          </w:p>
        </w:tc>
      </w:tr>
      <w:tr>
        <w:tc>
          <w:tcPr>
            <w:tcW w:type="dxa" w:w="282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Roles &amp; permissions</w:t>
            </w:r>
          </w:p>
        </w:tc>
        <w:tc>
          <w:tcPr>
            <w:tcW w:type="dxa" w:w="725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 read-only matrix showing exactly which of the core roles can view, create, edit, check in, cancel, or refund for each module.</w:t>
            </w:r>
          </w:p>
        </w:tc>
      </w:tr>
      <w:tr>
        <w:tc>
          <w:tcPr>
            <w:tcW w:type="dxa" w:w="2822"/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Audit log</w:t>
            </w:r>
          </w:p>
        </w:tc>
        <w:tc>
          <w:tcPr>
            <w:tcW w:type="dxa" w:w="7258"/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Every create/update/status-change action is recorded with the acting user, timestamp, and affected record — filterable and reviewable.</w:t>
            </w:r>
          </w:p>
        </w:tc>
      </w:tr>
    </w:tbl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5.2 Patient Management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7258"/>
      </w:tblGrid>
      <w:tr>
        <w:trPr>
          <w:tblHeader/>
        </w:trPr>
        <w:tc>
          <w:tcPr>
            <w:tcW w:type="dxa" w:w="2822"/>
            <w:shd w:fill="1F4A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type="dxa" w:w="7258"/>
            <w:shd w:fill="1F4A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2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Registration</w:t>
            </w:r>
          </w:p>
        </w:tc>
        <w:tc>
          <w:tcPr>
            <w:tcW w:type="dxa" w:w="725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Capture demographics, address, emergency contact, allergies, medical history, and current medications.</w:t>
            </w:r>
          </w:p>
        </w:tc>
      </w:tr>
      <w:tr>
        <w:tc>
          <w:tcPr>
            <w:tcW w:type="dxa" w:w="2822"/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Search</w:t>
            </w:r>
          </w:p>
        </w:tc>
        <w:tc>
          <w:tcPr>
            <w:tcW w:type="dxa" w:w="7258"/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Find a patient by name, patient ID, or phone number from a single search box.</w:t>
            </w:r>
          </w:p>
        </w:tc>
      </w:tr>
      <w:tr>
        <w:tc>
          <w:tcPr>
            <w:tcW w:type="dxa" w:w="282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Profile</w:t>
            </w:r>
          </w:p>
        </w:tc>
        <w:tc>
          <w:tcPr>
            <w:tcW w:type="dxa" w:w="725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One page showing contact info, medical information, and a chronological timeline: registration → appointment → consultation → prescription → invoice.</w:t>
            </w:r>
          </w:p>
        </w:tc>
      </w:tr>
      <w:tr>
        <w:tc>
          <w:tcPr>
            <w:tcW w:type="dxa" w:w="2822"/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Branch scoping</w:t>
            </w:r>
          </w:p>
        </w:tc>
        <w:tc>
          <w:tcPr>
            <w:tcW w:type="dxa" w:w="7258"/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 patient is registered at one branch; non-admin roles only see patients within their own branch (or the branch a shared appointment belongs to).</w:t>
            </w:r>
          </w:p>
        </w:tc>
      </w:tr>
    </w:tbl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5.3 Appointment Management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7258"/>
      </w:tblGrid>
      <w:tr>
        <w:trPr>
          <w:tblHeader/>
        </w:trPr>
        <w:tc>
          <w:tcPr>
            <w:tcW w:type="dxa" w:w="2822"/>
            <w:shd w:fill="1F4A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type="dxa" w:w="7258"/>
            <w:shd w:fill="1F4A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2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Calendar views</w:t>
            </w:r>
          </w:p>
        </w:tc>
        <w:tc>
          <w:tcPr>
            <w:tcW w:type="dxa" w:w="725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Day, Week, and Month views, each filterable by doctor and by department.</w:t>
            </w:r>
          </w:p>
        </w:tc>
      </w:tr>
      <w:tr>
        <w:tc>
          <w:tcPr>
            <w:tcW w:type="dxa" w:w="2822"/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Booking</w:t>
            </w:r>
          </w:p>
        </w:tc>
        <w:tc>
          <w:tcPr>
            <w:tcW w:type="dxa" w:w="7258"/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Select a patient and doctor, then a date; available time slots are computed from that doctor's actual working hours and existing bookings — double-booking is rejected.</w:t>
            </w:r>
          </w:p>
        </w:tc>
      </w:tr>
      <w:tr>
        <w:tc>
          <w:tcPr>
            <w:tcW w:type="dxa" w:w="282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Status lifecycle</w:t>
            </w:r>
          </w:p>
        </w:tc>
        <w:tc>
          <w:tcPr>
            <w:tcW w:type="dxa" w:w="725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Scheduled → Confirmed → Checked In → (In Consultation) → Completed, with Cancelled and No Show as terminal states; each transition is a distinct, permission-checked action.</w:t>
            </w:r>
          </w:p>
        </w:tc>
      </w:tr>
      <w:tr>
        <w:tc>
          <w:tcPr>
            <w:tcW w:type="dxa" w:w="2822"/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Rescheduling</w:t>
            </w:r>
          </w:p>
        </w:tc>
        <w:tc>
          <w:tcPr>
            <w:tcW w:type="dxa" w:w="7258"/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Move an appointment to a new date/time chosen from that doctor's currently open slots.</w:t>
            </w:r>
          </w:p>
        </w:tc>
      </w:tr>
      <w:tr>
        <w:tc>
          <w:tcPr>
            <w:tcW w:type="dxa" w:w="282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Reminders</w:t>
            </w:r>
          </w:p>
        </w:tc>
        <w:tc>
          <w:tcPr>
            <w:tcW w:type="dxa" w:w="725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 “send reminder” action exists end-to-end but is a visibly labeled stub in this release, pending real SMS/email integration.</w:t>
            </w:r>
          </w:p>
        </w:tc>
      </w:tr>
    </w:tbl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5.4 Doctor Management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7258"/>
      </w:tblGrid>
      <w:tr>
        <w:trPr>
          <w:tblHeader/>
        </w:trPr>
        <w:tc>
          <w:tcPr>
            <w:tcW w:type="dxa" w:w="2822"/>
            <w:shd w:fill="1F4A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type="dxa" w:w="7258"/>
            <w:shd w:fill="1F4A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2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Directory</w:t>
            </w:r>
          </w:p>
        </w:tc>
        <w:tc>
          <w:tcPr>
            <w:tcW w:type="dxa" w:w="725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Every doctor's specialization, qualification, registration number, branch, department, and consultation fee.</w:t>
            </w:r>
          </w:p>
        </w:tc>
      </w:tr>
      <w:tr>
        <w:tc>
          <w:tcPr>
            <w:tcW w:type="dxa" w:w="2822"/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Working hours &amp; capacity</w:t>
            </w:r>
          </w:p>
        </w:tc>
        <w:tc>
          <w:tcPr>
            <w:tcW w:type="dxa" w:w="7258"/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Per-weekday working hours, appointment slot duration, and daily appointment capacity — these directly drive what the booking flow offers as available.</w:t>
            </w:r>
          </w:p>
        </w:tc>
      </w:tr>
      <w:tr>
        <w:tc>
          <w:tcPr>
            <w:tcW w:type="dxa" w:w="282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Analytics</w:t>
            </w:r>
          </w:p>
        </w:tc>
        <w:tc>
          <w:tcPr>
            <w:tcW w:type="dxa" w:w="725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Per-doctor totals for appointments, completed consultations, cancellations, no-shows, unique patients, and revenue collected.</w:t>
            </w:r>
          </w:p>
        </w:tc>
      </w:tr>
    </w:tbl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5.5 Consultation &amp; EMR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7258"/>
      </w:tblGrid>
      <w:tr>
        <w:trPr>
          <w:tblHeader/>
        </w:trPr>
        <w:tc>
          <w:tcPr>
            <w:tcW w:type="dxa" w:w="2822"/>
            <w:shd w:fill="1F4A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type="dxa" w:w="7258"/>
            <w:shd w:fill="1F4A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2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Doctor's queue</w:t>
            </w:r>
          </w:p>
        </w:tc>
        <w:tc>
          <w:tcPr>
            <w:tcW w:type="dxa" w:w="725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Today's checked-in patients for the logged-in doctor (or, for admin roles, across the branch).</w:t>
            </w:r>
          </w:p>
        </w:tc>
      </w:tr>
      <w:tr>
        <w:tc>
          <w:tcPr>
            <w:tcW w:type="dxa" w:w="2822"/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Patient context</w:t>
            </w:r>
          </w:p>
        </w:tc>
        <w:tc>
          <w:tcPr>
            <w:tcW w:type="dxa" w:w="7258"/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Allergies, medical history, current medications, and recent visits/prescriptions stay visible throughout the consultation.</w:t>
            </w:r>
          </w:p>
        </w:tc>
      </w:tr>
      <w:tr>
        <w:tc>
          <w:tcPr>
            <w:tcW w:type="dxa" w:w="282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Clinical capture</w:t>
            </w:r>
          </w:p>
        </w:tc>
        <w:tc>
          <w:tcPr>
            <w:tcW w:type="dxa" w:w="725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Chief complaint, symptoms, vitals (BP, pulse, temperature, weight, height, SpO₂), clinical notes, diagnosis, and treatment plan.</w:t>
            </w:r>
          </w:p>
        </w:tc>
      </w:tr>
      <w:tr>
        <w:tc>
          <w:tcPr>
            <w:tcW w:type="dxa" w:w="2822"/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Prescription</w:t>
            </w:r>
          </w:p>
        </w:tc>
        <w:tc>
          <w:tcPr>
            <w:tcW w:type="dxa" w:w="7258"/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Add one or more medicines with dosage, frequency, duration, and instructions; generates a printable prescription.</w:t>
            </w:r>
          </w:p>
        </w:tc>
      </w:tr>
      <w:tr>
        <w:tc>
          <w:tcPr>
            <w:tcW w:type="dxa" w:w="282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Completion</w:t>
            </w:r>
          </w:p>
        </w:tc>
        <w:tc>
          <w:tcPr>
            <w:tcW w:type="dxa" w:w="725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Completing a consultation transitions its appointment to Completed and unlocks invoice creation from that visit.</w:t>
            </w:r>
          </w:p>
        </w:tc>
      </w:tr>
    </w:tbl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5.6 Billing &amp; Payments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7258"/>
      </w:tblGrid>
      <w:tr>
        <w:trPr>
          <w:tblHeader/>
        </w:trPr>
        <w:tc>
          <w:tcPr>
            <w:tcW w:type="dxa" w:w="2822"/>
            <w:shd w:fill="1F4A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type="dxa" w:w="7258"/>
            <w:shd w:fill="1F4A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2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Invoice creation</w:t>
            </w:r>
          </w:p>
        </w:tc>
        <w:tc>
          <w:tcPr>
            <w:tcW w:type="dxa" w:w="725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From a completed consultation (auto-filling the consultation fee) or built ad-hoc from a service catalogue.</w:t>
            </w:r>
          </w:p>
        </w:tc>
      </w:tr>
      <w:tr>
        <w:tc>
          <w:tcPr>
            <w:tcW w:type="dxa" w:w="2822"/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Adjustments</w:t>
            </w:r>
          </w:p>
        </w:tc>
        <w:tc>
          <w:tcPr>
            <w:tcW w:type="dxa" w:w="7258"/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Line-item discount and tax percentages, computed into subtotal and total automatically.</w:t>
            </w:r>
          </w:p>
        </w:tc>
      </w:tr>
      <w:tr>
        <w:tc>
          <w:tcPr>
            <w:tcW w:type="dxa" w:w="282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Payments</w:t>
            </w:r>
          </w:p>
        </w:tc>
        <w:tc>
          <w:tcPr>
            <w:tcW w:type="dxa" w:w="725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Record full or partial payments by cash, card, UPI, or insurance; a payment that would exceed the remaining balance is rejected with guidance to record a refund instead.</w:t>
            </w:r>
          </w:p>
        </w:tc>
      </w:tr>
      <w:tr>
        <w:tc>
          <w:tcPr>
            <w:tcW w:type="dxa" w:w="2822"/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Refunds</w:t>
            </w:r>
          </w:p>
        </w:tc>
        <w:tc>
          <w:tcPr>
            <w:tcW w:type="dxa" w:w="7258"/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Record a refund against a paid or partially-paid invoice, up to the amount actually paid.</w:t>
            </w:r>
          </w:p>
        </w:tc>
      </w:tr>
      <w:tr>
        <w:tc>
          <w:tcPr>
            <w:tcW w:type="dxa" w:w="282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Receipts</w:t>
            </w:r>
          </w:p>
        </w:tc>
        <w:tc>
          <w:tcPr>
            <w:tcW w:type="dxa" w:w="725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 printable receipt showing line items, totals, and full payment history.</w:t>
            </w:r>
          </w:p>
        </w:tc>
      </w:tr>
      <w:tr>
        <w:tc>
          <w:tcPr>
            <w:tcW w:type="dxa" w:w="2822"/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Statuses</w:t>
            </w:r>
          </w:p>
        </w:tc>
        <w:tc>
          <w:tcPr>
            <w:tcW w:type="dxa" w:w="7258"/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Paid, Partially Paid, Pending, Overdue, and Refunded, each visually distinct.</w:t>
            </w:r>
          </w:p>
        </w:tc>
      </w:tr>
    </w:tbl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5.7 Dashboard &amp; Reports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7258"/>
      </w:tblGrid>
      <w:tr>
        <w:trPr>
          <w:tblHeader/>
        </w:trPr>
        <w:tc>
          <w:tcPr>
            <w:tcW w:type="dxa" w:w="2822"/>
            <w:shd w:fill="1F4A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type="dxa" w:w="7258"/>
            <w:shd w:fill="1F4A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2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Date range</w:t>
            </w:r>
          </w:p>
        </w:tc>
        <w:tc>
          <w:tcPr>
            <w:tcW w:type="dxa" w:w="725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Today, Yesterday, This Week, This Month, or a Custom range, applied to every KPI and chart on the page.</w:t>
            </w:r>
          </w:p>
        </w:tc>
      </w:tr>
      <w:tr>
        <w:tc>
          <w:tcPr>
            <w:tcW w:type="dxa" w:w="2822"/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KPIs</w:t>
            </w:r>
          </w:p>
        </w:tc>
        <w:tc>
          <w:tcPr>
            <w:tcW w:type="dxa" w:w="7258"/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Total patients, appointments, consultations, revenue, outstanding balance, and doctor utilization for the selected range.</w:t>
            </w:r>
          </w:p>
        </w:tc>
      </w:tr>
      <w:tr>
        <w:tc>
          <w:tcPr>
            <w:tcW w:type="dxa" w:w="282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Trends</w:t>
            </w:r>
          </w:p>
        </w:tc>
        <w:tc>
          <w:tcPr>
            <w:tcW w:type="dxa" w:w="725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Revenue over time and appointment volume by status (scheduled/completed/cancelled/no-show), charted.</w:t>
            </w:r>
          </w:p>
        </w:tc>
      </w:tr>
      <w:tr>
        <w:tc>
          <w:tcPr>
            <w:tcW w:type="dxa" w:w="2822"/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Performance views</w:t>
            </w:r>
          </w:p>
        </w:tc>
        <w:tc>
          <w:tcPr>
            <w:tcW w:type="dxa" w:w="7258"/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Department performance and doctor utilization, branch-qualified when viewing the consolidated organization.</w:t>
            </w:r>
          </w:p>
        </w:tc>
      </w:tr>
      <w:tr>
        <w:tc>
          <w:tcPr>
            <w:tcW w:type="dxa" w:w="282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Alerts</w:t>
            </w:r>
          </w:p>
        </w:tc>
        <w:tc>
          <w:tcPr>
            <w:tcW w:type="dxa" w:w="725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Surfaced automatically — e.g. overdue invoices, appointments awaiting confirmation.</w:t>
            </w:r>
          </w:p>
        </w:tc>
      </w:tr>
      <w:tr>
        <w:tc>
          <w:tcPr>
            <w:tcW w:type="dxa" w:w="2822"/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Reports export</w:t>
            </w:r>
          </w:p>
        </w:tc>
        <w:tc>
          <w:tcPr>
            <w:tcW w:type="dxa" w:w="7258"/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Revenue by doctor, by department, and by service, each exportable as CSV.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A57" w:sz="6" w:space="6"/>
        </w:pBdr>
        <w:spacing w:after="200" w:before="480"/>
      </w:pPr>
      <w:r>
        <w:rPr>
          <w:rFonts w:ascii="Calibri" w:cs="Calibri" w:eastAsia="Calibri" w:hAnsi="Calibri"/>
          <w:b/>
          <w:bCs/>
          <w:color w:val="1F4A57"/>
          <w:sz w:val="30"/>
          <w:szCs w:val="30"/>
        </w:rPr>
        <w:t xml:space="preserve">6. Non-Functional Requirements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6.1 Access Control &amp; Security Posture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Permissions are enforced at three independent layers: what navigation a role sees, a page-level check on every route, and a re-check inside every server-side mutation — a hidden button is never the only safeguard.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Branch scoping is enforced server-side for every non-admin role, regardless of what a client sends.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An audit trail exists for key actions (patient/appointment/consultation/billing changes, logins) to support future compliance work.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This release does not claim regulatory compliance (HIPAA, GDPR, or local equivalents). The architecture — a swappable data-access layer, an isolated credentials module, and an audit log already in place — is designed so those requirements can be addressed deliberately during a production hardening phase, rather than retrofitted.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6.2 Usability &amp; Accessibility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Clear, plain-language labels throughout — no unexplained internal jargon in front-line staff screens.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Persistent patient/record identifiers (e.g. Patient ID, Invoice number) are visually distinguished so they are never mistaken for prose.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Destructive actions (cancel an appointment, refund a payment) require an explicit confirmation step.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The administrative application is responsive from desktop down to tablet width, per the target usage environment of front-desk and clinical staff.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6.3 Data &amp; Architecture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Every mutation flows through a service layer sitting behind Next.js Server Actions — the UI never touches the data store directly.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Every service function is asynchronous even where the current data store does not require it, so the entire mock data layer can be replaced with a real database without changing a single page or component.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Demo/seed data is generated from curated real-world name, address, specialty, and medicine pools rather than generic placeholder text, so the product can be evaluated against realistic content.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6.4 Performance &amp; Reliability Targets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Repetitive front-desk tasks (booking, check-in, invoice creation) are designed to complete in the minimum number of clicks and screens.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The production build must compile with zero type errors as a baseline correctness gate before any release.</w:t>
      </w:r>
    </w:p>
    <w:p>
      <w:pPr>
        <w:pStyle w:val="Heading1"/>
        <w:pBdr>
          <w:bottom w:val="single" w:color="1F4A57" w:sz="6" w:space="6"/>
        </w:pBdr>
        <w:spacing w:after="200" w:before="480"/>
      </w:pPr>
      <w:r>
        <w:rPr>
          <w:rFonts w:ascii="Calibri" w:cs="Calibri" w:eastAsia="Calibri" w:hAnsi="Calibri"/>
          <w:b/>
          <w:bCs/>
          <w:color w:val="1F4A57"/>
          <w:sz w:val="30"/>
          <w:szCs w:val="30"/>
        </w:rPr>
        <w:t xml:space="preserve">7. Assumptions, Constraints &amp; Dependencies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This release runs against an in-memory data layer for demonstration and evaluation purposes; data resets on a server restart by design, and is not yet backed by a persistent production database.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Authentication in this release uses a simplified, seeded-account model appropriate for a prototype; production deployment requires a hardened authentication provider before handling real patient data.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SMS/email/WhatsApp delivery for reminders and notifications is stubbed in this release, pending a messaging provider integration.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The product assumes each customer organization maps to one tenant with one or more branches; cross-organization data sharing is not supported.</w:t>
      </w:r>
    </w:p>
    <w:p>
      <w:pPr>
        <w:pStyle w:val="Heading1"/>
        <w:pBdr>
          <w:bottom w:val="single" w:color="1F4A57" w:sz="6" w:space="6"/>
        </w:pBdr>
        <w:spacing w:after="200" w:before="480"/>
      </w:pPr>
      <w:r>
        <w:rPr>
          <w:rFonts w:ascii="Calibri" w:cs="Calibri" w:eastAsia="Calibri" w:hAnsi="Calibri"/>
          <w:b/>
          <w:bCs/>
          <w:color w:val="1F4A57"/>
          <w:sz w:val="30"/>
          <w:szCs w:val="30"/>
        </w:rPr>
        <w:t xml:space="preserve">8. Appendix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8.1 Glossary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Branch: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A physical location belonging to one organization (e.g. the Bangalore branch of ABC Healthcare).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Tenant: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One customer organization and everything scoped beneath it — branches, departments, users, and data.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RBAC: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Role-Based Access Control — restricting what a user can view or do based on their assigned role.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EMR: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Electronic Medical Record — the digital clinical record captured during a consultation.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8.2 Related Materials</w:t>
      </w:r>
    </w:p>
    <w:p>
      <w:pPr>
        <w:spacing w:after="160" w:line="276"/>
      </w:pPr>
      <w:r>
        <w:rPr>
          <w:rFonts w:ascii="Calibri" w:cs="Calibri" w:eastAsia="Calibri" w:hAnsi="Calibri"/>
          <w:i w:val="false"/>
          <w:iCs w:val="false"/>
          <w:color w:val="1A1A2E"/>
          <w:sz w:val="21"/>
          <w:szCs w:val="21"/>
        </w:rPr>
        <w:t xml:space="preserve">A companion case study — including product screenshots, the phased build process, and verified end-to-end flows — is published alongside this document.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472"/>
        <w:sz w:val="15"/>
        <w:szCs w:val="15"/>
      </w:rPr>
      <w:t xml:space="preserve">Page </w:t>
    </w:r>
    <w:r>
      <w:rPr>
        <w:rFonts w:ascii="Calibri" w:cs="Calibri" w:eastAsia="Calibri" w:hAnsi="Calibri"/>
        <w:color w:val="5B6472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6472"/>
        <w:sz w:val="15"/>
        <w:szCs w:val="15"/>
      </w:rPr>
      <w:t xml:space="preserve"> of </w:t>
    </w:r>
    <w:r>
      <w:rPr>
        <w:rFonts w:ascii="Calibri" w:cs="Calibri" w:eastAsia="Calibri" w:hAnsi="Calibri"/>
        <w:color w:val="5B6472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0" w:sz="2" w:space="4"/>
      </w:pBdr>
      <w:jc w:val="right"/>
    </w:pPr>
    <w:r>
      <w:rPr>
        <w:rFonts w:ascii="Calibri" w:cs="Calibri" w:eastAsia="Calibri" w:hAnsi="Calibri"/>
        <w:color w:val="5B6472"/>
        <w:sz w:val="15"/>
        <w:szCs w:val="15"/>
      </w:rPr>
      <w:t xml:space="preserve">Healthcare SaaS Management Platform — PRD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2026-09-07T01:29:27.978Z</dcterms:created>
  <dcterms:modified xsi:type="dcterms:W3CDTF">2026-09-07T01:29:27.979Z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