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F410" w14:textId="77777777" w:rsidR="00317611" w:rsidRPr="00827174" w:rsidRDefault="00317611" w:rsidP="001F5E39">
      <w:pPr>
        <w:pStyle w:val="PargrafodaLista"/>
        <w:numPr>
          <w:ilvl w:val="0"/>
          <w:numId w:val="3"/>
        </w:numPr>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781D0F">
      <w:pPr>
        <w:pStyle w:val="PargrafodaLista"/>
        <w:ind w:left="432"/>
        <w:jc w:val="both"/>
        <w:rPr>
          <w:rFonts w:ascii="Arial" w:hAnsi="Arial" w:cs="Arial"/>
          <w:sz w:val="24"/>
          <w:szCs w:val="24"/>
        </w:rPr>
      </w:pPr>
    </w:p>
    <w:p w14:paraId="02C7EEA4" w14:textId="77777777" w:rsidR="001F5E39" w:rsidRPr="00827174" w:rsidRDefault="002E4554" w:rsidP="001F5E39">
      <w:pPr>
        <w:pStyle w:val="PargrafodaLista"/>
        <w:numPr>
          <w:ilvl w:val="1"/>
          <w:numId w:val="3"/>
        </w:numPr>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w:t>
      </w:r>
      <w:r w:rsidRPr="00827174">
        <w:rPr>
          <w:rFonts w:ascii="Arial" w:hAnsi="Arial" w:cs="Arial"/>
          <w:sz w:val="24"/>
          <w:szCs w:val="24"/>
        </w:rPr>
        <w:t xml:space="preserve"> </w:t>
      </w:r>
      <w:r w:rsidRPr="00827174">
        <w:rPr>
          <w:rFonts w:ascii="Arial" w:hAnsi="Arial" w:cs="Arial"/>
          <w:sz w:val="24"/>
          <w:szCs w:val="24"/>
        </w:rPr>
        <w:t>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827174">
      <w:pPr>
        <w:pStyle w:val="PargrafodaLista"/>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w:t>
      </w:r>
      <w:r w:rsidRPr="00827174">
        <w:rPr>
          <w:rFonts w:ascii="Arial" w:hAnsi="Arial" w:cs="Arial"/>
          <w:sz w:val="24"/>
          <w:szCs w:val="24"/>
        </w:rPr>
        <w:t>O gerenciamento de frota exerce um papel importantíssimo e imprescindível em muitos setores, da construção à entrega do produto final</w:t>
      </w:r>
      <w:r w:rsidRPr="00827174">
        <w:rPr>
          <w:rFonts w:ascii="Arial" w:hAnsi="Arial" w:cs="Arial"/>
          <w:sz w:val="24"/>
          <w:szCs w:val="24"/>
        </w:rPr>
        <w:t xml:space="preserve"> [...]”</w:t>
      </w:r>
      <w:r w:rsidR="00FB03B2" w:rsidRPr="00827174">
        <w:rPr>
          <w:rFonts w:ascii="Arial" w:hAnsi="Arial" w:cs="Arial"/>
          <w:sz w:val="24"/>
          <w:szCs w:val="24"/>
        </w:rPr>
        <w:t>.</w:t>
      </w:r>
    </w:p>
    <w:p w14:paraId="0FCEF63C" w14:textId="4A85C2D8"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w:t>
      </w:r>
      <w:r w:rsidRPr="00827174">
        <w:rPr>
          <w:rFonts w:ascii="Arial" w:hAnsi="Arial" w:cs="Arial"/>
          <w:sz w:val="24"/>
          <w:szCs w:val="24"/>
        </w:rPr>
        <w:t xml:space="preserve"> </w:t>
      </w:r>
      <w:r w:rsidRPr="00827174">
        <w:rPr>
          <w:rFonts w:ascii="Arial" w:hAnsi="Arial" w:cs="Arial"/>
          <w:sz w:val="24"/>
          <w:szCs w:val="24"/>
        </w:rPr>
        <w:t>e diminuir riscos. Isso é feito através da redução dos custos variáveis do veículo, que incluem combustível, multas, manutenção, pneus, pedágios e lavagem</w:t>
      </w:r>
      <w:r w:rsidRPr="00827174">
        <w:rPr>
          <w:rFonts w:ascii="Arial" w:hAnsi="Arial" w:cs="Arial"/>
          <w:sz w:val="24"/>
          <w:szCs w:val="24"/>
        </w:rPr>
        <w:t>.</w:t>
      </w:r>
    </w:p>
    <w:p w14:paraId="6A24F90C" w14:textId="5F02299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também envolve o planejamento de rotas para otimizar o uso dos veículos e economizar combustível. O controle do combustível é uma parte importante da gestão de frotas, pois pode resultar em economia de dinheiro.</w:t>
      </w:r>
    </w:p>
    <w:p w14:paraId="6F40CC42" w14:textId="738A3813"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2469F4E0"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w:t>
      </w:r>
    </w:p>
    <w:p w14:paraId="67F81D1F" w14:textId="77777777" w:rsidR="0082717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827174">
      <w:pPr>
        <w:pStyle w:val="PargrafodaLista"/>
        <w:ind w:left="576"/>
        <w:jc w:val="both"/>
        <w:rPr>
          <w:rFonts w:ascii="Arial" w:hAnsi="Arial" w:cs="Arial"/>
          <w:sz w:val="24"/>
          <w:szCs w:val="24"/>
        </w:rPr>
      </w:pPr>
    </w:p>
    <w:p w14:paraId="4D1041F7" w14:textId="531B7C5F" w:rsidR="00827174" w:rsidRPr="00827174" w:rsidRDefault="00827174" w:rsidP="00827174">
      <w:pPr>
        <w:pStyle w:val="PargrafodaLista"/>
        <w:numPr>
          <w:ilvl w:val="1"/>
          <w:numId w:val="3"/>
        </w:numPr>
        <w:jc w:val="both"/>
        <w:rPr>
          <w:rFonts w:ascii="Arial" w:hAnsi="Arial" w:cs="Arial"/>
          <w:sz w:val="24"/>
          <w:szCs w:val="24"/>
        </w:rPr>
      </w:pPr>
      <w:r w:rsidRPr="00827174">
        <w:rPr>
          <w:rFonts w:ascii="Arial" w:hAnsi="Arial" w:cs="Arial"/>
          <w:sz w:val="24"/>
          <w:szCs w:val="24"/>
        </w:rPr>
        <w:t>Fontes de Emissões Veiculares</w:t>
      </w:r>
    </w:p>
    <w:p w14:paraId="03BF83F1" w14:textId="56018F8E" w:rsidR="00827174" w:rsidRPr="00827174" w:rsidRDefault="00827174" w:rsidP="00DE0D9A">
      <w:pPr>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6535548B"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lastRenderedPageBreak/>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5"/>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827174">
      <w:pPr>
        <w:jc w:val="center"/>
        <w:rPr>
          <w:rFonts w:ascii="Arial" w:eastAsia="Times New Roman" w:hAnsi="Arial" w:cs="Arial"/>
          <w:sz w:val="24"/>
          <w:szCs w:val="24"/>
        </w:rPr>
      </w:pPr>
    </w:p>
    <w:p w14:paraId="41C14705" w14:textId="77777777" w:rsidR="00827174" w:rsidRPr="00827174" w:rsidRDefault="00827174" w:rsidP="00827174">
      <w:pPr>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w:t>
      </w:r>
    </w:p>
    <w:p w14:paraId="2ECE517A" w14:textId="77777777" w:rsidR="00827174" w:rsidRPr="00827174" w:rsidRDefault="00827174" w:rsidP="00827174">
      <w:pPr>
        <w:jc w:val="both"/>
        <w:rPr>
          <w:rFonts w:ascii="Arial" w:eastAsia="Times New Roman" w:hAnsi="Arial" w:cs="Arial"/>
          <w:sz w:val="24"/>
          <w:szCs w:val="24"/>
        </w:rPr>
      </w:pPr>
    </w:p>
    <w:p w14:paraId="3C1873D0"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6"/>
                    <a:srcRect/>
                    <a:stretch>
                      <a:fillRect/>
                    </a:stretch>
                  </pic:blipFill>
                  <pic:spPr>
                    <a:xfrm>
                      <a:off x="0" y="0"/>
                      <a:ext cx="4740051" cy="2377646"/>
                    </a:xfrm>
                    <a:prstGeom prst="rect">
                      <a:avLst/>
                    </a:prstGeom>
                    <a:ln/>
                  </pic:spPr>
                </pic:pic>
              </a:graphicData>
            </a:graphic>
          </wp:inline>
        </w:drawing>
      </w:r>
    </w:p>
    <w:p w14:paraId="09003EFA" w14:textId="77777777" w:rsidR="00827174" w:rsidRPr="00827174" w:rsidRDefault="00827174" w:rsidP="00827174">
      <w:pPr>
        <w:jc w:val="both"/>
        <w:rPr>
          <w:rFonts w:ascii="Arial" w:eastAsia="Times New Roman" w:hAnsi="Arial" w:cs="Arial"/>
          <w:sz w:val="24"/>
          <w:szCs w:val="24"/>
        </w:rPr>
      </w:pPr>
      <w:hyperlink r:id="rId7">
        <w:r w:rsidRPr="00827174">
          <w:rPr>
            <w:rFonts w:ascii="Arial" w:hAnsi="Arial" w:cs="Arial"/>
            <w:color w:val="0000FF"/>
            <w:u w:val="single"/>
          </w:rPr>
          <w:t>110922_comunicadoipea113.pdf</w:t>
        </w:r>
      </w:hyperlink>
    </w:p>
    <w:p w14:paraId="697CB564" w14:textId="77777777" w:rsidR="00827174" w:rsidRPr="00827174" w:rsidRDefault="00827174" w:rsidP="00827174">
      <w:pPr>
        <w:rPr>
          <w:rFonts w:ascii="Arial" w:eastAsia="Times New Roman" w:hAnsi="Arial" w:cs="Arial"/>
          <w:sz w:val="24"/>
          <w:szCs w:val="24"/>
        </w:rPr>
      </w:pPr>
    </w:p>
    <w:p w14:paraId="064B351D" w14:textId="48524995" w:rsidR="00827174" w:rsidRPr="00DE0D9A" w:rsidRDefault="00827174" w:rsidP="00DE0D9A">
      <w:pPr>
        <w:pStyle w:val="PargrafodaLista"/>
        <w:numPr>
          <w:ilvl w:val="2"/>
          <w:numId w:val="3"/>
        </w:numPr>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Devido à grande área de contato entre a superfície do sistema respiratório e o meio ambiente, a qualidade do ar interfere diretamente na saúde respiratória (ARBX, </w:t>
      </w:r>
      <w:r w:rsidRPr="00827174">
        <w:rPr>
          <w:rFonts w:ascii="Arial" w:eastAsia="Times New Roman" w:hAnsi="Arial" w:cs="Arial"/>
          <w:sz w:val="24"/>
          <w:szCs w:val="24"/>
        </w:rPr>
        <w:lastRenderedPageBreak/>
        <w:t>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827174">
        <w:rPr>
          <w:rFonts w:ascii="Arial" w:eastAsia="Times New Roman" w:hAnsi="Arial" w:cs="Arial"/>
          <w:sz w:val="24"/>
          <w:szCs w:val="24"/>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605B2AE4" w14:textId="74CF775C" w:rsidR="00827174" w:rsidRPr="00827174" w:rsidRDefault="00827174" w:rsidP="00DE0D9A">
      <w:pPr>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w:t>
      </w:r>
      <w:r w:rsidRPr="00827174">
        <w:rPr>
          <w:rFonts w:ascii="Arial" w:eastAsia="Times New Roman" w:hAnsi="Arial" w:cs="Arial"/>
          <w:sz w:val="24"/>
          <w:szCs w:val="24"/>
          <w:highlight w:val="white"/>
        </w:rPr>
        <w:t xml:space="preserve">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e</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 no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DE0D9A">
      <w:pPr>
        <w:shd w:val="clear" w:color="auto" w:fill="FFFFFF"/>
        <w:spacing w:after="0" w:line="24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827174">
      <w:pPr>
        <w:rPr>
          <w:rFonts w:ascii="Arial" w:hAnsi="Arial" w:cs="Arial"/>
        </w:rPr>
      </w:pPr>
    </w:p>
    <w:p w14:paraId="3893E6B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827174">
      <w:pPr>
        <w:rPr>
          <w:rFonts w:ascii="Arial" w:hAnsi="Arial" w:cs="Arial"/>
        </w:rPr>
      </w:pPr>
    </w:p>
    <w:p w14:paraId="2EE5E798" w14:textId="41585A8E"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w:t>
      </w:r>
      <w:r w:rsidRPr="00827174">
        <w:rPr>
          <w:rFonts w:ascii="Arial" w:eastAsia="Times New Roman" w:hAnsi="Arial" w:cs="Arial"/>
          <w:sz w:val="24"/>
          <w:szCs w:val="24"/>
        </w:rPr>
        <w:lastRenderedPageBreak/>
        <w:t>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principais poluentes veiculares locais são o monóxido de carbono (CO); os Hidrocarbonetos (HC), ou compostos orgânicos voláteis (COV); os materiais 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827174">
      <w:pPr>
        <w:rPr>
          <w:rFonts w:ascii="Arial" w:eastAsia="Times New Roman" w:hAnsi="Arial" w:cs="Arial"/>
          <w:sz w:val="24"/>
          <w:szCs w:val="24"/>
        </w:rPr>
      </w:pPr>
    </w:p>
    <w:p w14:paraId="2500130D"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827174">
      <w:pPr>
        <w:jc w:val="center"/>
        <w:rPr>
          <w:rFonts w:ascii="Arial" w:hAnsi="Arial" w:cs="Arial"/>
        </w:rPr>
      </w:pPr>
      <w:r w:rsidRPr="00827174">
        <w:rPr>
          <w:rFonts w:ascii="Arial" w:hAnsi="Arial" w:cs="Arial"/>
          <w:noProof/>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8"/>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827174">
      <w:pPr>
        <w:rPr>
          <w:rFonts w:ascii="Arial" w:hAnsi="Arial" w:cs="Arial"/>
        </w:rPr>
      </w:pPr>
    </w:p>
    <w:p w14:paraId="4C78B4EA" w14:textId="77777777" w:rsidR="00827174" w:rsidRPr="00827174" w:rsidRDefault="00827174" w:rsidP="00827174">
      <w:pPr>
        <w:rPr>
          <w:rFonts w:ascii="Arial" w:hAnsi="Arial" w:cs="Arial"/>
        </w:rPr>
      </w:pPr>
      <w:hyperlink r:id="rId9">
        <w:r w:rsidRPr="00827174">
          <w:rPr>
            <w:rFonts w:ascii="Arial" w:hAnsi="Arial" w:cs="Arial"/>
            <w:color w:val="0000FF"/>
            <w:u w:val="single"/>
          </w:rPr>
          <w:t>110922_comunicadoipea113.pdf</w:t>
        </w:r>
      </w:hyperlink>
    </w:p>
    <w:p w14:paraId="4DC144A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Perspectivas Futuras e Soluções Sustentáveis</w:t>
      </w:r>
    </w:p>
    <w:p w14:paraId="0963C4A0" w14:textId="77777777" w:rsidR="00827174" w:rsidRPr="00827174" w:rsidRDefault="00827174" w:rsidP="00827174">
      <w:pPr>
        <w:rPr>
          <w:rFonts w:ascii="Arial" w:hAnsi="Arial" w:cs="Arial"/>
        </w:rPr>
      </w:pPr>
    </w:p>
    <w:p w14:paraId="537AF69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Um segundo cenário seria a combinação de políticas e ações retratados nas figuras 1 e 2, em níveis variados de ênfases, com resultados também conflitantes, que </w:t>
      </w:r>
      <w:r w:rsidRPr="00827174">
        <w:rPr>
          <w:rFonts w:ascii="Arial" w:eastAsia="Times New Roman" w:hAnsi="Arial" w:cs="Arial"/>
          <w:sz w:val="24"/>
          <w:szCs w:val="24"/>
        </w:rPr>
        <w:lastRenderedPageBreak/>
        <w:t>poderiam levar a resultados inconclusivos em relação a efeitos líquidos, com contínuo aumento das emissões de GEE e reduzida mobilidade nos centros urbanos.</w:t>
      </w:r>
    </w:p>
    <w:p w14:paraId="0AC8322D" w14:textId="55BEB489"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w:t>
      </w:r>
      <w:r w:rsidRPr="00827174">
        <w:rPr>
          <w:rFonts w:ascii="Arial" w:eastAsia="Times New Roman" w:hAnsi="Arial" w:cs="Arial"/>
          <w:sz w:val="24"/>
          <w:szCs w:val="24"/>
        </w:rPr>
        <w:lastRenderedPageBreak/>
        <w:t xml:space="preserve">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827174" w:rsidP="00827174">
      <w:pPr>
        <w:ind w:firstLine="708"/>
        <w:rPr>
          <w:rFonts w:ascii="Arial" w:eastAsia="Times New Roman" w:hAnsi="Arial" w:cs="Arial"/>
          <w:sz w:val="24"/>
          <w:szCs w:val="24"/>
        </w:rPr>
      </w:pPr>
      <w:hyperlink r:id="rId10">
        <w:r w:rsidRPr="00827174">
          <w:rPr>
            <w:rFonts w:ascii="Arial" w:hAnsi="Arial" w:cs="Arial"/>
            <w:color w:val="0000FF"/>
            <w:u w:val="single"/>
          </w:rPr>
          <w:t>110922_comunicadoipea113.pdf</w:t>
        </w:r>
      </w:hyperlink>
    </w:p>
    <w:p w14:paraId="0D2D1117" w14:textId="77777777" w:rsidR="00781D0F" w:rsidRPr="00827174" w:rsidRDefault="00781D0F" w:rsidP="00781D0F">
      <w:pPr>
        <w:pStyle w:val="PargrafodaLista"/>
        <w:ind w:left="576"/>
        <w:jc w:val="both"/>
        <w:rPr>
          <w:rFonts w:ascii="Arial" w:hAnsi="Arial" w:cs="Arial"/>
          <w:sz w:val="24"/>
          <w:szCs w:val="24"/>
        </w:rPr>
      </w:pPr>
    </w:p>
    <w:p w14:paraId="04310C26" w14:textId="14CCBAF5" w:rsidR="00781D0F" w:rsidRPr="00827174" w:rsidRDefault="00781D0F" w:rsidP="00781D0F">
      <w:pPr>
        <w:pStyle w:val="PargrafodaLista"/>
        <w:numPr>
          <w:ilvl w:val="1"/>
          <w:numId w:val="3"/>
        </w:numPr>
        <w:jc w:val="both"/>
        <w:rPr>
          <w:rFonts w:ascii="Arial" w:hAnsi="Arial" w:cs="Arial"/>
          <w:sz w:val="24"/>
          <w:szCs w:val="24"/>
        </w:rPr>
      </w:pPr>
      <w:r w:rsidRPr="00827174">
        <w:rPr>
          <w:rFonts w:ascii="Arial" w:hAnsi="Arial" w:cs="Arial"/>
          <w:sz w:val="24"/>
          <w:szCs w:val="24"/>
        </w:rPr>
        <w:t>Sistema Mobile</w:t>
      </w:r>
    </w:p>
    <w:p w14:paraId="24624A97" w14:textId="77777777" w:rsidR="001F5E39" w:rsidRPr="00DE0D9A" w:rsidRDefault="001F5E39" w:rsidP="00DE0D9A">
      <w:pPr>
        <w:jc w:val="both"/>
        <w:rPr>
          <w:rFonts w:ascii="Arial" w:hAnsi="Arial" w:cs="Arial"/>
          <w:sz w:val="24"/>
          <w:szCs w:val="24"/>
        </w:rPr>
      </w:pPr>
    </w:p>
    <w:p w14:paraId="55015C35" w14:textId="463CC51A" w:rsidR="002E4554" w:rsidRPr="00827174" w:rsidRDefault="00317611" w:rsidP="001F5E39">
      <w:pPr>
        <w:pStyle w:val="PargrafodaLista"/>
        <w:numPr>
          <w:ilvl w:val="1"/>
          <w:numId w:val="3"/>
        </w:numPr>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sectPr w:rsidR="002E4554" w:rsidRPr="00827174" w:rsidSect="001111C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36D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3373486">
    <w:abstractNumId w:val="1"/>
  </w:num>
  <w:num w:numId="2" w16cid:durableId="678235620">
    <w:abstractNumId w:val="0"/>
  </w:num>
  <w:num w:numId="3" w16cid:durableId="664169287">
    <w:abstractNumId w:val="2"/>
  </w:num>
  <w:num w:numId="4" w16cid:durableId="171750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54"/>
    <w:rsid w:val="0007261F"/>
    <w:rsid w:val="00106C5D"/>
    <w:rsid w:val="001111CE"/>
    <w:rsid w:val="001F5E39"/>
    <w:rsid w:val="002E4554"/>
    <w:rsid w:val="00317611"/>
    <w:rsid w:val="00781D0F"/>
    <w:rsid w:val="007F247A"/>
    <w:rsid w:val="00827174"/>
    <w:rsid w:val="00973E6F"/>
    <w:rsid w:val="00D87E64"/>
    <w:rsid w:val="00DE0D9A"/>
    <w:rsid w:val="00FB0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pea.gov.br/portal/images/stories/PDFs/comunicado/110922_comunicadoipea1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pea.gov.br/portal/images/stories/PDFs/comunicado/110922_comunicadoipea113.pdf" TargetMode="External"/><Relationship Id="rId4" Type="http://schemas.openxmlformats.org/officeDocument/2006/relationships/webSettings" Target="webSettings.xml"/><Relationship Id="rId9" Type="http://schemas.openxmlformats.org/officeDocument/2006/relationships/hyperlink" Target="https://www.ipea.gov.br/portal/images/stories/PDFs/comunicado/110922_comunicadoipea113.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2037</Words>
  <Characters>11000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Mateus Santos</cp:lastModifiedBy>
  <cp:revision>3</cp:revision>
  <dcterms:created xsi:type="dcterms:W3CDTF">2024-04-06T14:04:00Z</dcterms:created>
  <dcterms:modified xsi:type="dcterms:W3CDTF">2024-04-06T19:13:00Z</dcterms:modified>
</cp:coreProperties>
</file>