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4E78"/>
          <w:sz w:val="34"/>
          <w:szCs w:val="34"/>
        </w:rPr>
        <w:t>Use-Case Flow Specification</w:t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20"/>
          <w:szCs w:val="20"/>
        </w:rPr>
        <w:t xml:space="preserve">Telemedicine Slot Booking &amp; Prescription Portal </w:t>
      </w:r>
      <w:r>
        <w:rPr>
          <w:i/>
          <w:iCs/>
          <w:color w:val="595959"/>
          <w:sz w:val="20"/>
          <w:szCs w:val="20"/>
        </w:rPr>
        <w:t>(</w:t>
      </w:r>
      <w:r>
        <w:rPr>
          <w:i/>
          <w:iCs/>
          <w:color w:val="595959"/>
          <w:sz w:val="20"/>
          <w:szCs w:val="20"/>
        </w:rPr>
        <w:t>Problem Statement #11</w:t>
      </w:r>
      <w:r>
        <w:rPr>
          <w:i/>
          <w:iCs/>
          <w:color w:val="595959"/>
          <w:sz w:val="20"/>
          <w:szCs w:val="20"/>
        </w:rPr>
        <w:t>)</w:t>
      </w:r>
    </w:p>
    <w:p>
      <w:pPr>
        <w:pStyle w:val="Normal"/>
        <w:spacing w:before="160" w:after="80"/>
        <w:rPr/>
      </w:pPr>
      <w:r>
        <w:rPr>
          <w:b/>
          <w:bCs/>
          <w:color w:val="1F4E78"/>
          <w:sz w:val="22"/>
          <w:szCs w:val="22"/>
        </w:rPr>
        <w:t xml:space="preserve">Use Case: </w:t>
      </w:r>
      <w:r>
        <w:rPr>
          <w:b w:val="false"/>
          <w:bCs w:val="false"/>
          <w:color w:val="000000"/>
          <w:sz w:val="22"/>
          <w:szCs w:val="22"/>
        </w:rPr>
        <w:t>Book Consultation Slot</w:t>
      </w:r>
    </w:p>
    <w:p>
      <w:pPr>
        <w:pStyle w:val="Normal"/>
        <w:spacing w:before="160" w:after="80"/>
        <w:rPr/>
      </w:pPr>
      <w:r>
        <w:rPr>
          <w:b/>
          <w:bCs/>
          <w:color w:val="1F4E78"/>
          <w:sz w:val="22"/>
          <w:szCs w:val="22"/>
        </w:rPr>
        <w:t>Main Success Scenario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Patient selects a physician and views the physician's available consultation slots (View Doctor Specialties &amp; Slots).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Patient selects a desired date and time slot and clicks “Book Slot.”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System places a temporary hold on the slot (60-second reservation window) and displays a booking summary with the consultation fee.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>Patient confirms the booking and proceeds to payment, which triggers the included use case «include» Make Payment.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Patient enters payment details and submits the payment.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>System forwards the payment request to the Payment Gateway.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>Payment Gateway authorizes the transaction and returns a success response.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>System converts the temporary hold into a confirmed booking and updates the slot status to Booked.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>System automatically generates an encrypted, single-use tele-consultation room link (per FR-004) and schedules a reminder notification for both patient and physician.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>System displays a booking confirmation screen and emails a summary, including the appointment time, to the patient and physician.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>Use case ends successfully.</w:t>
      </w:r>
    </w:p>
    <w:p>
      <w:pPr>
        <w:pStyle w:val="Normal"/>
        <w:spacing w:before="160" w:after="80"/>
        <w:rPr/>
      </w:pPr>
      <w:r>
        <w:rPr>
          <w:b/>
          <w:bCs/>
          <w:color w:val="9C4500"/>
          <w:sz w:val="22"/>
          <w:szCs w:val="22"/>
        </w:rPr>
        <w:t>Alternate Flow — 7a. Payment Declined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7a1. </w:t>
      </w:r>
      <w:r>
        <w:rPr>
          <w:sz w:val="21"/>
          <w:szCs w:val="21"/>
        </w:rPr>
        <w:t>System detects the Payment Gateway returned a declined or failed response instead of authorizing the transaction.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7a2. </w:t>
      </w:r>
      <w:r>
        <w:rPr>
          <w:sz w:val="21"/>
          <w:szCs w:val="21"/>
        </w:rPr>
        <w:t>System displays a “Payment Failed” message to the patient while keeping the temporary slot hold active.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7a3. </w:t>
      </w:r>
      <w:r>
        <w:rPr>
          <w:sz w:val="21"/>
          <w:szCs w:val="21"/>
        </w:rPr>
        <w:t>Patient is prompted to retry payment with the same method or select a different payment method.</w:t>
      </w:r>
    </w:p>
    <w:p>
      <w:pPr>
        <w:pStyle w:val="Normal"/>
        <w:spacing w:before="0" w:after="80"/>
        <w:ind w:start="360"/>
        <w:rPr/>
      </w:pPr>
      <w:r>
        <w:rPr>
          <w:b/>
          <w:bCs/>
          <w:sz w:val="21"/>
          <w:szCs w:val="21"/>
        </w:rPr>
        <w:t xml:space="preserve">7a4. </w:t>
      </w:r>
      <w:r>
        <w:rPr>
          <w:sz w:val="21"/>
          <w:szCs w:val="21"/>
        </w:rPr>
        <w:t>If payment fails a second time within the hold window, the system releases the slot hold, cancels the booking attempt, and notifies the patient that the slot has been released back to general availability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1</Pages>
  <Words>274</Words>
  <Characters>1541</Characters>
  <CharactersWithSpaces>1796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2026-08-25T16:58:58Z</dcterms:created>
  <dc:creator>Un-named</dc:creator>
  <dc:description/>
  <dc:language>en-IN</dc:language>
  <cp:lastModifiedBy/>
  <dcterms:modified xsi:type="dcterms:W3CDTF">2026-08-25T22:46:26Z</dcterms:modified>
  <cp:revision>2</cp:revision>
  <dc:subject/>
  <dc:title/>
</cp:coreProperties>
</file>