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ascii="Calibri" w:hAnsi="Calibri"/>
          <w:b/>
          <w:color w:val="143C64"/>
          <w:sz w:val="23"/>
        </w:rPr>
        <w:t>LAB 3: ARCHITECTURAL PATTERN SELECTION &amp; COMPONENT JUSTIFICATION</w:t>
        <w:br/>
      </w:r>
      <w:r>
        <w:rPr>
          <w:rFonts w:ascii="Calibri" w:hAnsi="Calibri"/>
          <w:b/>
          <w:color w:val="236496"/>
          <w:sz w:val="19"/>
        </w:rPr>
        <w:t>Problem Statement #11: Telemedicine Slot Booking &amp; Prescription Portal</w:t>
      </w:r>
    </w:p>
    <w:p>
      <w:pPr>
        <w:pStyle w:val="Normal"/>
        <w:spacing w:before="0" w:after="20"/>
        <w:jc w:val="start"/>
        <w:rPr>
          <w:rFonts w:ascii="Calibri" w:hAnsi="Calibri"/>
          <w:b/>
          <w:color w:val="236496"/>
          <w:sz w:val="19"/>
        </w:rPr>
      </w:pPr>
      <w:r>
        <w:rPr>
          <w:rFonts w:ascii="Calibri" w:hAnsi="Calibri"/>
          <w:b/>
          <w:color w:val="236496"/>
          <w:sz w:val="19"/>
        </w:rPr>
      </w:r>
    </w:p>
    <w:p>
      <w:pPr>
        <w:pStyle w:val="Normal"/>
        <w:spacing w:before="0" w:after="20"/>
        <w:jc w:val="start"/>
        <w:rPr>
          <w:rFonts w:ascii="Calibri" w:hAnsi="Calibri"/>
          <w:b/>
          <w:color w:val="236496"/>
          <w:sz w:val="16"/>
          <w:szCs w:val="16"/>
        </w:rPr>
      </w:pPr>
      <w:r>
        <w:rPr>
          <w:rFonts w:ascii="Calibri" w:hAnsi="Calibri"/>
          <w:b/>
          <w:color w:val="236496"/>
          <w:sz w:val="16"/>
          <w:szCs w:val="16"/>
        </w:rPr>
        <w:t xml:space="preserve">Name: </w:t>
      </w:r>
      <w:r>
        <w:rPr>
          <w:rFonts w:ascii="Calibri" w:hAnsi="Calibri"/>
          <w:b w:val="false"/>
          <w:bCs w:val="false"/>
          <w:color w:val="1C1C1C"/>
          <w:sz w:val="16"/>
          <w:szCs w:val="16"/>
        </w:rPr>
        <w:t>Mahilan</w:t>
      </w:r>
    </w:p>
    <w:p>
      <w:pPr>
        <w:pStyle w:val="Normal"/>
        <w:spacing w:before="0" w:after="20"/>
        <w:jc w:val="start"/>
        <w:rPr>
          <w:rFonts w:ascii="Calibri" w:hAnsi="Calibri"/>
          <w:b/>
          <w:color w:val="236496"/>
          <w:sz w:val="16"/>
          <w:szCs w:val="16"/>
        </w:rPr>
      </w:pPr>
      <w:r>
        <w:rPr>
          <w:rFonts w:ascii="Calibri" w:hAnsi="Calibri"/>
          <w:b/>
          <w:color w:val="236496"/>
          <w:sz w:val="16"/>
          <w:szCs w:val="16"/>
        </w:rPr>
        <w:t xml:space="preserve">SRN: </w:t>
      </w:r>
      <w:r>
        <w:rPr>
          <w:rFonts w:ascii="Calibri" w:hAnsi="Calibri"/>
          <w:b w:val="false"/>
          <w:bCs w:val="false"/>
          <w:color w:val="1C1C1C"/>
          <w:sz w:val="16"/>
          <w:szCs w:val="16"/>
        </w:rPr>
        <w:t>PES1UG24CS256</w:t>
      </w:r>
    </w:p>
    <w:p>
      <w:pPr>
        <w:pStyle w:val="Normal"/>
        <w:spacing w:before="0" w:after="20"/>
        <w:jc w:val="start"/>
        <w:rPr>
          <w:rFonts w:ascii="Calibri" w:hAnsi="Calibri"/>
          <w:b/>
          <w:color w:val="236496"/>
          <w:sz w:val="16"/>
          <w:szCs w:val="16"/>
        </w:rPr>
      </w:pPr>
      <w:r>
        <w:rPr>
          <w:rFonts w:ascii="Calibri" w:hAnsi="Calibri"/>
          <w:b/>
          <w:color w:val="236496"/>
          <w:sz w:val="16"/>
          <w:szCs w:val="16"/>
        </w:rPr>
        <w:t xml:space="preserve">SECTION: </w:t>
      </w:r>
      <w:r>
        <w:rPr>
          <w:rFonts w:ascii="Calibri" w:hAnsi="Calibri"/>
          <w:b w:val="false"/>
          <w:bCs w:val="false"/>
          <w:color w:val="1C1C1C"/>
          <w:sz w:val="16"/>
          <w:szCs w:val="16"/>
        </w:rPr>
        <w:t>E</w:t>
      </w:r>
    </w:p>
    <w:p>
      <w:pPr>
        <w:pStyle w:val="Normal"/>
        <w:spacing w:before="0" w:after="20"/>
        <w:jc w:val="start"/>
        <w:rPr>
          <w:rFonts w:ascii="Calibri" w:hAnsi="Calibri"/>
          <w:b w:val="false"/>
          <w:bCs w:val="false"/>
          <w:color w:val="1C1C1C"/>
          <w:sz w:val="19"/>
        </w:rPr>
      </w:pPr>
      <w:r>
        <w:rPr>
          <w:rFonts w:ascii="Calibri" w:hAnsi="Calibri"/>
          <w:b w:val="false"/>
          <w:bCs w:val="false"/>
          <w:color w:val="1C1C1C"/>
          <w:sz w:val="19"/>
        </w:rPr>
      </w:r>
    </w:p>
    <w:p>
      <w:pPr>
        <w:pStyle w:val="Normal"/>
        <w:spacing w:before="40" w:after="60"/>
        <w:rPr/>
      </w:pPr>
      <w:r>
        <w:rPr>
          <w:rFonts w:ascii="Calibri" w:hAnsi="Calibri"/>
          <w:b/>
          <w:color w:val="143C64"/>
          <w:sz w:val="19"/>
        </w:rPr>
        <w:t xml:space="preserve">Architecture Selection: </w:t>
      </w:r>
      <w:r>
        <w:rPr>
          <w:rFonts w:ascii="Calibri" w:hAnsi="Calibri"/>
          <w:b/>
          <w:i/>
          <w:color w:val="1C1C1C"/>
          <w:sz w:val="19"/>
        </w:rPr>
        <w:t>Microservices Architecture</w:t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</w:r>
    </w:p>
    <w:p>
      <w:pPr>
        <w:pStyle w:val="Normal"/>
        <w:spacing w:before="40" w:after="20"/>
        <w:rPr>
          <w:rFonts w:ascii="Calibri" w:hAnsi="Calibri"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  <w:t>1. Architectural Style Analysis &amp; Comparative Evaluation</w:t>
      </w:r>
    </w:p>
    <w:p>
      <w:pPr>
        <w:pStyle w:val="Normal"/>
        <w:numPr>
          <w:ilvl w:val="0"/>
          <w:numId w:val="7"/>
        </w:numPr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  <w:t>Layered Architecture: Partitions system into horizontal tiers (Presentation, Business, Data). While offering high conceptual clarity and simplicity, it tightly couples monolithic execution threads. High-bandwidth WebRTC video streaming (NFR-002) and CPU-heavy cryptographic PDF signing (FR-001) would directly degrade transactional slot queries (FR-002).</w:t>
      </w:r>
    </w:p>
    <w:p>
      <w:pPr>
        <w:pStyle w:val="Normal"/>
        <w:numPr>
          <w:ilvl w:val="0"/>
          <w:numId w:val="7"/>
        </w:numPr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  <w:t>Client-Server Architecture: Couples all business logic into a centralized monolithic server. This introduces a single point of failure and scalability bottleneck during clinic rush hours, failing to provide fault isolation required for healthcare systems.</w:t>
      </w:r>
    </w:p>
    <w:p>
      <w:pPr>
        <w:pStyle w:val="Normal"/>
        <w:numPr>
          <w:ilvl w:val="0"/>
          <w:numId w:val="7"/>
        </w:numPr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  <w:t>Microservices Architecture (Selected): Decomposes the portal into fine-grained, independently deployable services around distinct healthcare domains. This enables video media servers, transactional booking engines, and cryptographic signing pipelines to scale independently while enforcing strict fault isolation.</w:t>
      </w:r>
    </w:p>
    <w:p>
      <w:pPr>
        <w:pStyle w:val="Normal"/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</w:r>
    </w:p>
    <w:p>
      <w:pPr>
        <w:pStyle w:val="Normal"/>
        <w:spacing w:before="40" w:after="20"/>
        <w:rPr/>
      </w:pPr>
      <w:r>
        <w:rPr>
          <w:rFonts w:ascii="Calibri" w:hAnsi="Calibri"/>
          <w:b/>
          <w:color w:val="143C64"/>
          <w:sz w:val="18"/>
        </w:rPr>
        <w:t>2. Scenario-Related Justification</w:t>
      </w:r>
    </w:p>
    <w:p>
      <w:pPr>
        <w:pStyle w:val="Normal"/>
        <w:numPr>
          <w:ilvl w:val="0"/>
          <w:numId w:val="8"/>
        </w:numPr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  <w:t>Decoupled Scaling for Divergent Workload Profiles: The system integrates three heterogeneous computational workloads: (i) database-bound transactional concurrency for atomic slot locking and double-booking prevention (FR-003), (ii) high-throughput, ultra-low-latency WebRTC video streaming supporting 500+ simultaneous sessions (NFR-002), and (iii) compute-intensive cryptographic compilation of signed PDF prescriptions (FR-001). Microservices allows the Tele-Consultation media cluster to autoscale horizontally on dedicated nodes without exhausting database connection pools needed for slot browsing.</w:t>
      </w:r>
    </w:p>
    <w:p>
      <w:pPr>
        <w:pStyle w:val="Normal"/>
        <w:numPr>
          <w:ilvl w:val="0"/>
          <w:numId w:val="8"/>
        </w:numPr>
        <w:spacing w:lineRule="auto" w:line="245" w:before="0" w:after="60"/>
        <w:rPr>
          <w:rFonts w:ascii="Calibri" w:hAnsi="Calibri"/>
          <w:color w:val="1E2832"/>
          <w:sz w:val="15"/>
        </w:rPr>
      </w:pPr>
      <w:r>
        <w:rPr>
          <w:rFonts w:ascii="Calibri" w:hAnsi="Calibri"/>
          <w:color w:val="1E2832"/>
          <w:sz w:val="15"/>
        </w:rPr>
        <w:t>Strict Isolation for Regulatory Compliance &amp; Doctor Licensing: Electronic Protected Health Information (ePHI) and physician cryptographic credentials require stringent access governance under healthcare regulations (HIPAA/GDPR). Isolating the Digital Prescription Service into a private microservice ensures physician private keys (X.509/PKI) and license validation logic are strictly encapsulated, preventing vulnerabilities in public browsing from exposing signing infrastructure.</w:t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  <w:t>3. Security Advantage</w:t>
      </w:r>
    </w:p>
    <w:p>
      <w:pPr>
        <w:pStyle w:val="Normal"/>
        <w:spacing w:lineRule="auto" w:line="245" w:before="0" w:after="60"/>
        <w:rPr/>
      </w:pPr>
      <w:r>
        <w:rPr>
          <w:rFonts w:ascii="Calibri" w:hAnsi="Calibri"/>
          <w:color w:val="1E2832"/>
          <w:sz w:val="15"/>
        </w:rPr>
        <w:t>The Microservices Architecture enforces Zero-Trust defense-in-depth across service boundaries. External client requests terminate at a secure API Gateway enforcing TLS 1.3 encryption in transit (NFR-001) and OAuth2/JWT role-based access control. Internal microservices communicate over private subnets with mutual TLS (mTLS). Sensitive medical records and clinical notes are persisted with AES-256 encryption at rest (NFR-001). Furthermore, tele-consultation room links (FR-004) are generated as cryptographically signed, single-use, time-bound tokens with automated expiration, completely eliminating unauthorized session snooping and link-sharing attacks.</w:t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  <w:t>4. Performance Benefit</w:t>
      </w:r>
    </w:p>
    <w:p>
      <w:pPr>
        <w:pStyle w:val="Normal"/>
        <w:spacing w:lineRule="auto" w:line="245" w:before="0" w:after="60"/>
        <w:rPr/>
      </w:pPr>
      <w:r>
        <w:rPr>
          <w:rFonts w:ascii="Calibri" w:hAnsi="Calibri"/>
          <w:color w:val="1E2832"/>
          <w:sz w:val="15"/>
        </w:rPr>
        <w:t>By decoupling the Appointment &amp; Slot Booking Service, the architecture leverages high-speed in-memory distributed caching (Redis atomic locks with 60-second reservation leases) to resolve slot race conditions in sub-millisecond latency without relational table locks. Simultaneously, the Tele-Consultation Service manages WebRTC signaling and media routing on dedicated Selective Forwarding Units (SFUs), ensuring call setup latency remains under 3 seconds under peak loads of 500 concurrent sessions (NFR-002) while maintaining 99.9% monthly uptime.</w:t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</w:r>
    </w:p>
    <w:p>
      <w:pPr>
        <w:pStyle w:val="Normal"/>
        <w:spacing w:before="40" w:after="20"/>
        <w:rPr>
          <w:rFonts w:ascii="Calibri" w:hAnsi="Calibri"/>
          <w:b/>
          <w:color w:val="143C64"/>
          <w:sz w:val="18"/>
        </w:rPr>
      </w:pPr>
      <w:r>
        <w:rPr>
          <w:rFonts w:ascii="Calibri" w:hAnsi="Calibri"/>
          <w:b/>
          <w:color w:val="143C64"/>
          <w:sz w:val="18"/>
        </w:rPr>
        <w:t>5. Component &amp; Interface Specification Summary</w:t>
      </w:r>
    </w:p>
    <w:tbl>
      <w:tblPr>
        <w:tblW w:w="10944" w:type="dxa"/>
        <w:jc w:val="center"/>
        <w:tblInd w:w="0" w:type="dxa"/>
        <w:tblLayout w:type="fixed"/>
        <w:tblCellMar>
          <w:top w:w="20" w:type="dxa"/>
          <w:start w:w="40" w:type="dxa"/>
          <w:bottom w:w="20" w:type="dxa"/>
          <w:end w:w="40" w:type="dxa"/>
        </w:tblCellMar>
        <w:tblLook w:noHBand="0" w:noVBand="1" w:firstColumn="1" w:lastRow="0" w:lastColumn="0" w:firstRow="1" w:val="04a0"/>
      </w:tblPr>
      <w:tblGrid>
        <w:gridCol w:w="2736"/>
        <w:gridCol w:w="2736"/>
        <w:gridCol w:w="2736"/>
        <w:gridCol w:w="2736"/>
      </w:tblGrid>
      <w:tr>
        <w:trPr/>
        <w:tc>
          <w:tcPr>
            <w:tcW w:w="2736" w:type="dxa"/>
            <w:tcBorders/>
            <w:shd w:fill="143C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Component Name</w:t>
            </w:r>
          </w:p>
        </w:tc>
        <w:tc>
          <w:tcPr>
            <w:tcW w:w="2736" w:type="dxa"/>
            <w:tcBorders/>
            <w:shd w:fill="143C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Stereotype</w:t>
            </w:r>
          </w:p>
        </w:tc>
        <w:tc>
          <w:tcPr>
            <w:tcW w:w="2736" w:type="dxa"/>
            <w:tcBorders/>
            <w:shd w:fill="143C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Provided Interfaces</w:t>
            </w:r>
          </w:p>
        </w:tc>
        <w:tc>
          <w:tcPr>
            <w:tcW w:w="2736" w:type="dxa"/>
            <w:tcBorders/>
            <w:shd w:fill="143C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Required Interfaces &amp; Protocols</w:t>
            </w:r>
          </w:p>
        </w:tc>
      </w:tr>
      <w:tr>
        <w:trPr/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API Gateway &amp; Auth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IClientGateway (HTTPS/TLS 1.3)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ISlotBooking, IPrescription, IVideoSession</w:t>
            </w:r>
          </w:p>
        </w:tc>
      </w:tr>
      <w:tr>
        <w:trPr/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Slot Booking Service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ISlotBooking (gRPC/Protobuf)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IPaymentProcess, IRoomProvision, INotification, IDataAccess</w:t>
            </w:r>
          </w:p>
        </w:tc>
      </w:tr>
      <w:tr>
        <w:trPr/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Payment Service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IPaymentProcess (Internal REST)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IPaymentGateway (External PCI-DSS HTTPS)</w:t>
            </w:r>
          </w:p>
        </w:tc>
      </w:tr>
      <w:tr>
        <w:trPr/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Tele-Consultation Svc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IRoomProvision, IVideoSession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INotification (AMQP), IDataAccess (TLS)</w:t>
            </w:r>
          </w:p>
        </w:tc>
      </w:tr>
      <w:tr>
        <w:trPr/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Digital Prescription Svc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IPrescription (REST/HTTPS)</w:t>
            </w:r>
          </w:p>
        </w:tc>
        <w:tc>
          <w:tcPr>
            <w:tcW w:w="2736" w:type="dxa"/>
            <w:tcBorders/>
            <w:shd w:fill="F4F6F9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ICryptoSign (PKI/HSM), IDataAccess (AES-256)</w:t>
            </w:r>
          </w:p>
        </w:tc>
      </w:tr>
      <w:tr>
        <w:trPr/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EHR &amp; Persistence Repo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color w:val="1E2832"/>
                <w:sz w:val="14"/>
              </w:rPr>
              <w:t>«component»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IDataAccess (Encrypted DB)</w:t>
            </w:r>
          </w:p>
        </w:tc>
        <w:tc>
          <w:tcPr>
            <w:tcW w:w="2736" w:type="dxa"/>
            <w:tcBorders/>
            <w:shd w:fill="FFFFFF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ascii="Calibri" w:hAnsi="Calibri"/>
                <w:color w:val="1E2832"/>
                <w:sz w:val="14"/>
              </w:rPr>
              <w:t>Storage Engine (AES-256 Rest Encryption)</w:t>
            </w:r>
          </w:p>
        </w:tc>
      </w:tr>
    </w:tbl>
    <w:sectPr>
      <w:type w:val="nextPage"/>
      <w:pgSz w:w="12240" w:h="15840"/>
      <w:pgMar w:left="648" w:right="648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Free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LibreOffice/26.2.6.3$Linux_X86_64 LibreOffice_project/620$Build-3</Application>
  <AppVersion>15.0000</AppVersion>
  <Pages>1</Pages>
  <Words>507</Words>
  <Characters>3862</Characters>
  <CharactersWithSpaces>4320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2026-10-05T09:56:53Z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