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rPr/>
        <w:t xml:space="preserve">Nowa Energia</w:t>
      </w:r>
    </w:p>
    <w:p>
      <w:pPr>
        <w:pStyle w:val="Heading1"/>
        <w:spacing w:after="80"/>
      </w:pPr>
      <w:r>
        <w:rPr/>
        <w:t xml:space="preserve">Dokumentacja agenta AI</w:t>
      </w:r>
    </w:p>
    <w:p>
      <w:pPr>
        <w:spacing w:after="80"/>
      </w:pPr>
      <w:r>
        <w:rPr/>
        <w:t xml:space="preserve">Data opracowania: 14 maja 2026</w:t>
      </w:r>
    </w:p>
    <w:p>
      <w:pPr>
        <w:pStyle w:val="Heading1"/>
        <w:spacing w:after="80"/>
      </w:pPr>
      <w:r>
        <w:rPr/>
        <w:t xml:space="preserve">Dokumentacja agenta AI</w:t>
      </w:r>
    </w:p>
    <w:p>
      <w:pPr>
        <w:pStyle w:val="Heading2"/>
        <w:spacing w:after="80"/>
      </w:pPr>
      <w:r>
        <w:rPr/>
        <w:t xml:space="preserve">1. Karta agenta</w:t>
      </w:r>
    </w:p>
    <w:p>
      <w:pPr>
        <w:spacing w:after="80"/>
      </w:pPr>
      <w:r>
        <w:rPr/>
        <w:t xml:space="preserve">Agent AI aplikacji Nowa Energia — Harmonogram pracy wspiera kierownika wykonawstwa w planowaniu pracy brygad, obsłudze awarii oraz monitorowaniu statusów wykonania. Agent działa jako system rekomendacyjny i nie podejmuje samodzielnych decyzji operacyjnych.</w:t>
      </w:r>
    </w:p>
    <w:tbl>
      <w:tblPr>
        <w:tblW w:w="0" w:type="auto"/>
        <w:tblBorders>
          <w:top w:val="single" w:sz="6" w:color="D9D3DE"/>
          <w:left w:val="single" w:sz="6" w:color="D9D3DE"/>
          <w:bottom w:val="single" w:sz="6" w:color="D9D3DE"/>
          <w:right w:val="single" w:sz="6" w:color="D9D3DE"/>
          <w:insideH w:val="single" w:sz="6" w:color="D9D3DE"/>
          <w:insideV w:val="single" w:sz="6" w:color="D9D3DE"/>
        </w:tblBorders>
      </w:tblPr>
      <w:tr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Obszar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Opis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Cel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Przygotowanie rekomendowanego harmonogramu, klasyfikacja awarii RDM i wsparcie bieżącej obsługi planu.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Użytkownik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Kierownik wykonawstwa lub osoba odpowiedzialna za plan pracy brygad.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Granice decyzyjne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Agent rekomenduje. Decyzję zatwierdza człowiek.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Warunek zatrzymania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Brak wymaganych danych, konflikty krytyczne, potrzeba zatwierdzenia człowieka.</w:t>
            </w:r>
          </w:p>
        </w:tc>
      </w:tr>
    </w:tbl>
    <w:p>
      <w:pPr>
        <w:pStyle w:val="Heading2"/>
        <w:spacing w:after="80"/>
      </w:pPr>
      <w:r>
        <w:rPr/>
        <w:t xml:space="preserve">2. Specyfikacja narzędzi</w:t>
      </w:r>
    </w:p>
    <w:tbl>
      <w:tblPr>
        <w:tblW w:w="0" w:type="auto"/>
        <w:tblBorders>
          <w:top w:val="single" w:sz="6" w:color="D9D3DE"/>
          <w:left w:val="single" w:sz="6" w:color="D9D3DE"/>
          <w:bottom w:val="single" w:sz="6" w:color="D9D3DE"/>
          <w:right w:val="single" w:sz="6" w:color="D9D3DE"/>
          <w:insideH w:val="single" w:sz="6" w:color="D9D3DE"/>
          <w:insideV w:val="single" w:sz="6" w:color="D9D3DE"/>
        </w:tblBorders>
      </w:tblPr>
      <w:tr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Narzędzie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Wejście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Wyjście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Ograniczenia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Silnik planowania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Dział Planowania, Brygady, parametry domyślne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Propozycja harmonogramu, niezaplanowane, konflikty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Wynik zależy od jakości danych.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Klasyfikator RDM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RDM Awarie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Klasyfikacja awarii, rekomendowany typ zadania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Wymaga weryfikacji przez kierownika.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Status prac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Dane z terenu wprowadzone ręcznie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Status wykonania zadania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Nie pobiera automatycznie danych terenowych.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Asystent LLM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Pytanie użytkownika i opcjonalny kontekst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Odpowiedź pomocnicza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Wymaga klucza API; nie podejmuje decyzji.</w:t>
            </w:r>
          </w:p>
        </w:tc>
      </w:tr>
    </w:tbl>
    <w:p>
      <w:pPr>
        <w:pStyle w:val="Heading2"/>
        <w:spacing w:after="80"/>
      </w:pPr>
      <w:r>
        <w:rPr/>
        <w:t xml:space="preserve">3. Matryca uprawnień</w:t>
      </w:r>
    </w:p>
    <w:tbl>
      <w:tblPr>
        <w:tblW w:w="0" w:type="auto"/>
        <w:tblBorders>
          <w:top w:val="single" w:sz="6" w:color="D9D3DE"/>
          <w:left w:val="single" w:sz="6" w:color="D9D3DE"/>
          <w:bottom w:val="single" w:sz="6" w:color="D9D3DE"/>
          <w:right w:val="single" w:sz="6" w:color="D9D3DE"/>
          <w:insideH w:val="single" w:sz="6" w:color="D9D3DE"/>
          <w:insideV w:val="single" w:sz="6" w:color="D9D3DE"/>
        </w:tblBorders>
      </w:tblPr>
      <w:tr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Czynność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Może sam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Musi zapytać/zatwierdzić człowiek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Wygenerować propozycję harmonogramu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Tak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Zatwierdzenie harmonogramu.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Dodać awarie RDM do planu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Nie w pełni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Kierownik wybiera i zatwierdza import.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Zmienić status wykonania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Nie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Status ustawia kierownik na podstawie danych z terenu.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Podjąć decyzję operacyjną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Nie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Zawsze człowiek.</w:t>
            </w:r>
          </w:p>
        </w:tc>
      </w:tr>
    </w:tbl>
    <w:p>
      <w:pPr>
        <w:pStyle w:val="Heading2"/>
        <w:spacing w:after="80"/>
      </w:pPr>
      <w:r>
        <w:rPr/>
        <w:t xml:space="preserve">4. Drzewo decyzyjne / diagram przepływu</w:t>
      </w:r>
    </w:p>
    <w:p>
      <w:pPr>
        <w:ind w:left="360" w:hanging="180"/>
        <w:spacing w:after="80"/>
      </w:pPr>
      <w:r>
        <w:rPr/>
        <w:t xml:space="preserve">• Wgranie Dział Planowania i Brygady.</w:t>
      </w:r>
    </w:p>
    <w:p>
      <w:pPr>
        <w:ind w:left="360" w:hanging="180"/>
        <w:spacing w:after="80"/>
      </w:pPr>
      <w:r>
        <w:rPr/>
        <w:t xml:space="preserve">• Walidacja danych wejściowych.</w:t>
      </w:r>
    </w:p>
    <w:p>
      <w:pPr>
        <w:ind w:left="360" w:hanging="180"/>
        <w:spacing w:after="80"/>
      </w:pPr>
      <w:r>
        <w:rPr/>
        <w:t xml:space="preserve">• Wygenerowanie rekomendowanego harmonogramu.</w:t>
      </w:r>
    </w:p>
    <w:p>
      <w:pPr>
        <w:ind w:left="360" w:hanging="180"/>
        <w:spacing w:after="80"/>
      </w:pPr>
      <w:r>
        <w:rPr/>
        <w:t xml:space="preserve">• Weryfikacja i ewentualna edycja harmonogramu przez kierownika.</w:t>
      </w:r>
    </w:p>
    <w:p>
      <w:pPr>
        <w:ind w:left="360" w:hanging="180"/>
        <w:spacing w:after="80"/>
      </w:pPr>
      <w:r>
        <w:rPr/>
        <w:t xml:space="preserve">• Zatwierdzenie harmonogramu.</w:t>
      </w:r>
    </w:p>
    <w:p>
      <w:pPr>
        <w:ind w:left="360" w:hanging="180"/>
        <w:spacing w:after="80"/>
      </w:pPr>
      <w:r>
        <w:rPr/>
        <w:t xml:space="preserve">• Wgranie RDM Awarie i klasyfikacja zgłoszeń.</w:t>
      </w:r>
    </w:p>
    <w:p>
      <w:pPr>
        <w:ind w:left="360" w:hanging="180"/>
        <w:spacing w:after="80"/>
      </w:pPr>
      <w:r>
        <w:rPr/>
        <w:t xml:space="preserve">• Weryfikacja klasyfikacji i import wybranych awarii.</w:t>
      </w:r>
    </w:p>
    <w:p>
      <w:pPr>
        <w:ind w:left="360" w:hanging="180"/>
        <w:spacing w:after="80"/>
      </w:pPr>
      <w:r>
        <w:rPr/>
        <w:t xml:space="preserve">• Aktualizacja statusów wykonania i analiza dashboardu.</w:t>
      </w:r>
    </w:p>
    <w:p>
      <w:pPr>
        <w:pStyle w:val="Heading2"/>
        <w:spacing w:after="80"/>
      </w:pPr>
      <w:r>
        <w:rPr/>
        <w:t xml:space="preserve">5. Ślad decyzyjny</w:t>
      </w:r>
    </w:p>
    <w:p>
      <w:pPr>
        <w:spacing w:after="80"/>
      </w:pPr>
      <w:r>
        <w:rPr/>
        <w:t xml:space="preserve">Aplikacja prowadzi log decyzji obejmujący uruchomienie planowania, edycje harmonogramu, import awarii RDM, akceptację zmian i aktualizację statusów wykonania. Ślad decyzyjny powinien pozwalać odtworzyć sekwencję: dane wejściowe → rekomendacja → decyzja człowieka → wynik.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Aptos" w:hAnsi="Aptos" w:eastAsia="Aptos" w:cs="Aptos"/>
    </w:rPr>
  </w:style>
  <w:style w:type="paragraph" w:styleId="Title">
    <w:name w:val="Title"/>
    <w:qFormat/>
    <w:rPr>
      <w:b/>
      <w:sz w:val="36"/>
      <w:color w:val="2F2338"/>
    </w:rPr>
  </w:style>
  <w:style w:type="paragraph" w:styleId="Heading1">
    <w:name w:val="heading 1"/>
    <w:qFormat/>
    <w:pPr>
      <w:spacing w:before="360" w:after="120"/>
    </w:pPr>
    <w:rPr>
      <w:b/>
      <w:sz w:val="28"/>
      <w:color w:val="5F4770"/>
    </w:rPr>
  </w:style>
  <w:style w:type="paragraph" w:styleId="Heading2">
    <w:name w:val="heading 2"/>
    <w:qFormat/>
    <w:pPr>
      <w:spacing w:before="240" w:after="80"/>
    </w:pPr>
    <w:rPr>
      <w:b/>
      <w:sz w:val="24"/>
      <w:color w:val="2F2338"/>
    </w:rPr>
  </w:style>
</w:styles>
</file>

<file path=word/_rels/document.xml.rels><?xml version="1.0" encoding="UTF-8" standalone="yes"?>
<Relationships xmlns="http://schemas.openxmlformats.org/package/2006/relationships"/>
</file>