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Nowa Energia</w:t>
      </w:r>
    </w:p>
    <w:p>
      <w:pPr>
        <w:jc w:val="center"/>
      </w:pPr>
      <w:r>
        <w:rPr>
          <w:b/>
          <w:color w:val="1F4E79"/>
          <w:sz w:val="30"/>
        </w:rPr>
        <w:t>KPI i ryzyka procesu harmonogramowania prac</w:t>
      </w:r>
    </w:p>
    <w:p>
      <w:pPr>
        <w:jc w:val="center"/>
      </w:pPr>
      <w:r>
        <w:rPr>
          <w:i/>
          <w:sz w:val="22"/>
        </w:rPr>
        <w:t>Dokument dodatkowy opracowany na warsztacie uzupełniającym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852"/>
        <w:gridCol w:w="7852"/>
      </w:tblGrid>
      <w:tr>
        <w:tc>
          <w:tcPr>
            <w:tcW w:type="dxa" w:w="283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Proces</w:t>
            </w:r>
          </w:p>
        </w:tc>
        <w:tc>
          <w:tcPr>
            <w:tcW w:type="dxa" w:w="11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Harmonogramowanie bieżących prac eksploatacyjnych i inwestycyjnych</w:t>
            </w:r>
          </w:p>
        </w:tc>
      </w:tr>
      <w:tr>
        <w:tc>
          <w:tcPr>
            <w:tcW w:type="dxa" w:w="283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Charakter dokumentu</w:t>
            </w:r>
          </w:p>
        </w:tc>
        <w:tc>
          <w:tcPr>
            <w:tcW w:type="dxa" w:w="11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Materiał dodatkowy do pakietu dokumentów przekazanych przez właściciela procesu</w:t>
            </w:r>
          </w:p>
        </w:tc>
      </w:tr>
      <w:tr>
        <w:tc>
          <w:tcPr>
            <w:tcW w:type="dxa" w:w="283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Źródło opracowania</w:t>
            </w:r>
          </w:p>
        </w:tc>
        <w:tc>
          <w:tcPr>
            <w:tcW w:type="dxa" w:w="11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Warsztat uzupełniający dotyczący KPI, ryzyk i zasad kontroli procesu</w:t>
            </w:r>
          </w:p>
        </w:tc>
      </w:tr>
      <w:tr>
        <w:tc>
          <w:tcPr>
            <w:tcW w:type="dxa" w:w="283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Zakres</w:t>
            </w:r>
          </w:p>
        </w:tc>
        <w:tc>
          <w:tcPr>
            <w:tcW w:type="dxa" w:w="11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KPI procesu, interpretacja korekt planu miesięcznego, praktyczny rejestr ryzyk oraz elementy do potwierdzenia</w:t>
            </w:r>
          </w:p>
        </w:tc>
      </w:tr>
      <w:tr>
        <w:tc>
          <w:tcPr>
            <w:tcW w:type="dxa" w:w="283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1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Wersja robocza do walidacji z właścicielem procesu</w:t>
            </w:r>
          </w:p>
        </w:tc>
      </w:tr>
      <w:tr>
        <w:tc>
          <w:tcPr>
            <w:tcW w:type="dxa" w:w="283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Data opracowania</w:t>
            </w:r>
          </w:p>
        </w:tc>
        <w:tc>
          <w:tcPr>
            <w:tcW w:type="dxa" w:w="11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2026-05-09</w:t>
            </w:r>
          </w:p>
        </w:tc>
      </w:tr>
    </w:tbl>
    <w:p/>
    <w:p>
      <w:pPr>
        <w:pStyle w:val="Heading1"/>
      </w:pPr>
      <w:r>
        <w:t>1. Cel dokumentu</w:t>
      </w:r>
    </w:p>
    <w:p>
      <w:pPr>
        <w:spacing w:after="80" w:before="0"/>
      </w:pPr>
      <w:r>
        <w:t>Dokument porządkuje ustalenia z warsztatu uzupełniającego dotyczącego KPI i ryzyk dla procesu harmonogramowania prac eksploatacyjnych i inwestycyjnych w projekcie Nowa Energia.</w:t>
      </w:r>
    </w:p>
    <w:p>
      <w:pPr>
        <w:spacing w:after="80" w:before="0"/>
      </w:pPr>
      <w:r>
        <w:t>Materiał stanowi dodatkowy załącznik do dokumentów przekazanych przez właściciela procesu. Nie zastępuje karty procesu, transkrypcji ani dokumentów proceduralnych, lecz uzupełnia je o mierniki, ryzyka i kwestie wymagające dalszego potwierdzenia.</w:t>
      </w:r>
    </w:p>
    <w:p>
      <w:pPr>
        <w:spacing w:after="80" w:before="0"/>
      </w:pPr>
      <w:r>
        <w:rPr>
          <w:b/>
        </w:rPr>
        <w:t>Założenie projektowe:</w:t>
      </w:r>
      <w:r/>
    </w:p>
    <w:p>
      <w:pPr>
        <w:pStyle w:val="ListBullet"/>
        <w:spacing w:after="40"/>
      </w:pPr>
      <w:r>
        <w:t>Rozwiązanie wspierające harmonogramowanie powinno działać jako asystent planowania lub system rekomendacyjny.</w:t>
      </w:r>
    </w:p>
    <w:p>
      <w:pPr>
        <w:pStyle w:val="ListBullet"/>
        <w:spacing w:after="40"/>
      </w:pPr>
      <w:r>
        <w:t>System nie powinien samodzielnie zatwierdzać harmonogramu ani podejmować decyzji operacyjnych w miejsce kierownika wykonawstwa.</w:t>
      </w:r>
    </w:p>
    <w:p>
      <w:pPr>
        <w:pStyle w:val="ListBullet"/>
        <w:spacing w:after="40"/>
      </w:pPr>
      <w:r>
        <w:t>Korekty planu miesięcznego należy interpretować z podziałem na korekty uzasadnione operacyjnie oraz korekty możliwe do ograniczenia przez poprawę danych, walidacji i reguł planistycznych.</w:t>
      </w:r>
    </w:p>
    <w:p>
      <w:pPr>
        <w:pStyle w:val="Heading1"/>
      </w:pPr>
      <w:r>
        <w:t>2. Ustalenia bazowe z warsztatu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35"/>
        <w:gridCol w:w="5235"/>
        <w:gridCol w:w="5235"/>
      </w:tblGrid>
      <w:tr>
        <w:tc>
          <w:tcPr>
            <w:tcW w:type="dxa" w:w="3061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567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Ustalenie bazowe</w:t>
            </w:r>
          </w:p>
        </w:tc>
        <w:tc>
          <w:tcPr>
            <w:tcW w:type="dxa" w:w="601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Znaczenie dla KPI i ryzyk</w:t>
            </w:r>
          </w:p>
        </w:tc>
      </w:tr>
      <w:tr>
        <w:tc>
          <w:tcPr>
            <w:tcW w:type="dxa" w:w="30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Czas przygotowania harmonogramu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Obecnie przygotowanie harmonogramu miesięcznego zajmuje ok. 3 dni robocze.</w:t>
            </w:r>
          </w:p>
        </w:tc>
        <w:tc>
          <w:tcPr>
            <w:tcW w:type="dxa" w:w="601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Stanowi wartość bazową dla KPI-01.</w:t>
            </w:r>
          </w:p>
        </w:tc>
      </w:tr>
      <w:tr>
        <w:tc>
          <w:tcPr>
            <w:tcW w:type="dxa" w:w="30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Korekty planu miesięcznego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Z danych historycznych wynika, że korekty obejmują ok. 15% planu miesięcznego.</w:t>
            </w:r>
          </w:p>
        </w:tc>
        <w:tc>
          <w:tcPr>
            <w:tcW w:type="dxa" w:w="601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Stanowi wartość bazową dla KPI-05 i KPI-06; wskaźnik wymaga podziału według przyczyn korekt.</w:t>
            </w:r>
          </w:p>
        </w:tc>
      </w:tr>
      <w:tr>
        <w:tc>
          <w:tcPr>
            <w:tcW w:type="dxa" w:w="306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Zakres decyzji człowieka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Kierownik wykonawstwa pozostaje osobą zatwierdzającą harmonogram i przeplanowania.</w:t>
            </w:r>
          </w:p>
        </w:tc>
        <w:tc>
          <w:tcPr>
            <w:tcW w:type="dxa" w:w="601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Ogranicza ryzyko nadmiernej autonomii rozwiązania.</w:t>
            </w:r>
          </w:p>
        </w:tc>
      </w:tr>
    </w:tbl>
    <w:p>
      <w:pPr>
        <w:pStyle w:val="Heading1"/>
      </w:pPr>
      <w:r>
        <w:t>3. Rejestr KPI procesu</w:t>
      </w:r>
    </w:p>
    <w:p>
      <w:pPr>
        <w:spacing w:after="80" w:before="0"/>
      </w:pPr>
      <w:r>
        <w:t>KPI mają mierzyć jakość, wykonalność i stabilność procesu. Nie powinny wymuszać ograniczania korekt, które są uzasadnione awariami, absencjami, pracami krytycznymi albo zmianami w wyłączeniach.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17"/>
        <w:gridCol w:w="2617"/>
        <w:gridCol w:w="2617"/>
        <w:gridCol w:w="2617"/>
        <w:gridCol w:w="2617"/>
        <w:gridCol w:w="2617"/>
      </w:tblGrid>
      <w:tr>
        <w:trPr>
          <w:tblHeader w:val="true"/>
        </w:trPr>
        <w:tc>
          <w:tcPr>
            <w:tcW w:type="dxa" w:w="2324"/>
            <w:shd w:fill="1F4E79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 / nazwa KPI</w:t>
            </w:r>
          </w:p>
        </w:tc>
        <w:tc>
          <w:tcPr>
            <w:tcW w:type="dxa" w:w="2721"/>
            <w:shd w:fill="1F4E79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Cel</w:t>
            </w:r>
          </w:p>
        </w:tc>
        <w:tc>
          <w:tcPr>
            <w:tcW w:type="dxa" w:w="3855"/>
            <w:shd w:fill="1F4E79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Metoda pomiaru</w:t>
            </w:r>
          </w:p>
        </w:tc>
        <w:tc>
          <w:tcPr>
            <w:tcW w:type="dxa" w:w="1701"/>
            <w:shd w:fill="1F4E79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Częstotliwość</w:t>
            </w:r>
          </w:p>
        </w:tc>
        <w:tc>
          <w:tcPr>
            <w:tcW w:type="dxa" w:w="2041"/>
            <w:shd w:fill="1F4E79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Właściciel</w:t>
            </w:r>
          </w:p>
        </w:tc>
        <w:tc>
          <w:tcPr>
            <w:tcW w:type="dxa" w:w="4195"/>
            <w:shd w:fill="1F4E79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Poziom bazowy / akceptowalny / docelowy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KPI-01</w:t>
              <w:br/>
              <w:t>Czas przygotowania harmonogramu miesięcznego</w:t>
            </w:r>
          </w:p>
        </w:tc>
        <w:tc>
          <w:tcPr>
            <w:tcW w:type="dxa" w:w="272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Ograniczyć czas przygotowania pierwszej wersji harmonogramu miesięcznego.</w:t>
            </w:r>
          </w:p>
        </w:tc>
        <w:tc>
          <w:tcPr>
            <w:tcW w:type="dxa" w:w="385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Czas od otrzymania kompletnego planu miesięcznego przez dział wykonawstwa do przygotowania roboczej wersji harmonogramu gotowej do weryfikacji.</w:t>
            </w:r>
          </w:p>
        </w:tc>
        <w:tc>
          <w:tcPr>
            <w:tcW w:type="dxa" w:w="170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Miesięcznie</w:t>
            </w:r>
          </w:p>
        </w:tc>
        <w:tc>
          <w:tcPr>
            <w:tcW w:type="dxa" w:w="204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Kierownik wykonawstwa</w:t>
            </w:r>
          </w:p>
        </w:tc>
        <w:tc>
          <w:tcPr>
            <w:tcW w:type="dxa" w:w="419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Wartość bazowa: 3 dni robocze. Poziom docelowy: do [X] godzin roboczych - do uzupełnienia po potwierdzeniu oczekiwania biznesowego.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KPI-02</w:t>
              <w:br/>
              <w:t>Kompletność danych wejściowych</w:t>
            </w:r>
          </w:p>
        </w:tc>
        <w:tc>
          <w:tcPr>
            <w:tcW w:type="dxa" w:w="272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Zapewnić możliwość walidacji i planowania na podstawie kompletnych danych wejściowych.</w:t>
            </w:r>
          </w:p>
        </w:tc>
        <w:tc>
          <w:tcPr>
            <w:tcW w:type="dxa" w:w="385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Odsetek zadań z kompletem danych: typ, ilość, jednostka, czasochłonność, kompetencje, minimalna obsada, termin wymagany oraz informacja o wyłączeniu.</w:t>
            </w:r>
          </w:p>
        </w:tc>
        <w:tc>
          <w:tcPr>
            <w:tcW w:type="dxa" w:w="170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Miesięcznie, przed harmonogramowaniem</w:t>
            </w:r>
          </w:p>
        </w:tc>
        <w:tc>
          <w:tcPr>
            <w:tcW w:type="dxa" w:w="204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Dział planowania / HR</w:t>
            </w:r>
          </w:p>
        </w:tc>
        <w:tc>
          <w:tcPr>
            <w:tcW w:type="dxa" w:w="419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Minimum 95% zadań z kompletem danych. Dla zadań z terminem sztywnym lub wyłączeniem: 100% danych krytycznych.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KPI-03</w:t>
              <w:br/>
              <w:t>Pokrycie kompetencji i obsady</w:t>
            </w:r>
          </w:p>
        </w:tc>
        <w:tc>
          <w:tcPr>
            <w:tcW w:type="dxa" w:w="272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Nie dopuścić do zatwierdzenia zadania przypisanego do niewłaściwej brygady.</w:t>
            </w:r>
          </w:p>
        </w:tc>
        <w:tc>
          <w:tcPr>
            <w:tcW w:type="dxa" w:w="385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Odsetek zadań, w których dostępni członkowie brygady spełniają wymagane kompetencje i minimalną obsadę.</w:t>
            </w:r>
          </w:p>
        </w:tc>
        <w:tc>
          <w:tcPr>
            <w:tcW w:type="dxa" w:w="170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Przy zatwierdzeniu i miesięcznie</w:t>
            </w:r>
          </w:p>
        </w:tc>
        <w:tc>
          <w:tcPr>
            <w:tcW w:type="dxa" w:w="204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Kierownik wykonawstwa / HR</w:t>
            </w:r>
          </w:p>
        </w:tc>
        <w:tc>
          <w:tcPr>
            <w:tcW w:type="dxa" w:w="419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100% w zatwierdzonym harmonogramie. Zadania bez pokrycia mogą występować wyłącznie jako wymagające decyzji.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KPI-04</w:t>
              <w:br/>
              <w:t>Konflikty w harmonogramie</w:t>
            </w:r>
          </w:p>
        </w:tc>
        <w:tc>
          <w:tcPr>
            <w:tcW w:type="dxa" w:w="272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Ograniczyć liczbę kolizji przed zatwierdzeniem harmonogramu.</w:t>
            </w:r>
          </w:p>
        </w:tc>
        <w:tc>
          <w:tcPr>
            <w:tcW w:type="dxa" w:w="385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Liczba konfliktów: brak kompetencji, brak obsady, przekroczenie dostępności, kolizja terminu, kolizja wyłączenia, przekroczenie czasu pracy.</w:t>
            </w:r>
          </w:p>
        </w:tc>
        <w:tc>
          <w:tcPr>
            <w:tcW w:type="dxa" w:w="170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Miesięcznie i przed zatwierdzeniem</w:t>
            </w:r>
          </w:p>
        </w:tc>
        <w:tc>
          <w:tcPr>
            <w:tcW w:type="dxa" w:w="204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Kierownik wykonawstwa</w:t>
            </w:r>
          </w:p>
        </w:tc>
        <w:tc>
          <w:tcPr>
            <w:tcW w:type="dxa" w:w="419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0 konfliktów krytycznych w zatwierdzonym harmonogramie. Konflikty niekrytyczne tylko jako jawnie oznaczone pozycje do decyzji.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KPI-05</w:t>
              <w:br/>
              <w:t>Realizacja i stabilność planu miesięcznego</w:t>
            </w:r>
          </w:p>
        </w:tc>
        <w:tc>
          <w:tcPr>
            <w:tcW w:type="dxa" w:w="272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Monitorować wykonanie planu miesięcznego oraz strukturę korekt względem pierwotnego harmonogramu.</w:t>
            </w:r>
          </w:p>
        </w:tc>
        <w:tc>
          <w:tcPr>
            <w:tcW w:type="dxa" w:w="385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Odsetek zadań wykonanych zgodnie z planem oraz odsetek zadań skorygowanych, z podziałem na przyczyny korekt.</w:t>
            </w:r>
          </w:p>
        </w:tc>
        <w:tc>
          <w:tcPr>
            <w:tcW w:type="dxa" w:w="170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Miesięcznie</w:t>
            </w:r>
          </w:p>
        </w:tc>
        <w:tc>
          <w:tcPr>
            <w:tcW w:type="dxa" w:w="204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Kierownik wykonawstwa / Dział planowania</w:t>
            </w:r>
          </w:p>
        </w:tc>
        <w:tc>
          <w:tcPr>
            <w:tcW w:type="dxa" w:w="419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Wartość bazowa: ok. 15% korekt planu miesięcznego. Celem nie jest eliminacja korekt uzasadnionych operacyjnie, lecz identyfikacja i ograniczanie korekt wynikających z błędów danych, konfliktów planistycznych i niewłaściwego doboru zasobów.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KPI-06</w:t>
              <w:br/>
              <w:t>Skala przeplanowania ad hoc</w:t>
            </w:r>
          </w:p>
        </w:tc>
        <w:tc>
          <w:tcPr>
            <w:tcW w:type="dxa" w:w="272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Pokazać wpływ awarii, absencji i pilnych prac na zatwierdzony plan miesięczny.</w:t>
            </w:r>
          </w:p>
        </w:tc>
        <w:tc>
          <w:tcPr>
            <w:tcW w:type="dxa" w:w="385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Liczba i udział zadań przesuniętych z powodu awarii, absencji, zadania z terminem sztywnym, wyłączenia, pilnej naprawy albo innej przyczyny.</w:t>
            </w:r>
          </w:p>
        </w:tc>
        <w:tc>
          <w:tcPr>
            <w:tcW w:type="dxa" w:w="170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Dziennie i miesięcznie</w:t>
            </w:r>
          </w:p>
        </w:tc>
        <w:tc>
          <w:tcPr>
            <w:tcW w:type="dxa" w:w="204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Kierownik wykonawstwa</w:t>
            </w:r>
          </w:p>
        </w:tc>
        <w:tc>
          <w:tcPr>
            <w:tcW w:type="dxa" w:w="419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Wskaźnik monitorowany. Należy wykazywać strukturę przyczyn korekt; bez progu akceptacji w pilotażu.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KPI-07</w:t>
              <w:br/>
              <w:t>Czas przeplanowania dnia</w:t>
            </w:r>
          </w:p>
        </w:tc>
        <w:tc>
          <w:tcPr>
            <w:tcW w:type="dxa" w:w="272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Skrócić czas reakcji na awarię, absencję lub zmianę priorytetu.</w:t>
            </w:r>
          </w:p>
        </w:tc>
        <w:tc>
          <w:tcPr>
            <w:tcW w:type="dxa" w:w="385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Czas od identyfikacji potrzeby zmiany do przygotowania zatwierdzonej aktualizacji planu dnia dla brygad.</w:t>
            </w:r>
          </w:p>
        </w:tc>
        <w:tc>
          <w:tcPr>
            <w:tcW w:type="dxa" w:w="170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Dziennie i miesięcznie</w:t>
            </w:r>
          </w:p>
        </w:tc>
        <w:tc>
          <w:tcPr>
            <w:tcW w:type="dxa" w:w="204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Kierownik wykonawstwa</w:t>
            </w:r>
          </w:p>
        </w:tc>
        <w:tc>
          <w:tcPr>
            <w:tcW w:type="dxa" w:w="419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Wartość bazowa do pomiaru w AS-IS. W pilotażu mierzyć medianę i P95; poziom docelowy ustalić po pierwszym okresie pomiarowym.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KPI-08</w:t>
              <w:br/>
              <w:t>Jakość rekomendacji rozwiązania</w:t>
            </w:r>
          </w:p>
        </w:tc>
        <w:tc>
          <w:tcPr>
            <w:tcW w:type="dxa" w:w="272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Ocenić praktyczną przydatność rekomendacji systemu planistycznego lub AI.</w:t>
            </w:r>
          </w:p>
        </w:tc>
        <w:tc>
          <w:tcPr>
            <w:tcW w:type="dxa" w:w="385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Odsetek rekomendacji zaakceptowanych bez istotnej ręcznej korekty oraz liczba korekt po zatwierdzeniu. Istotna korekta to zmiana brygady, terminu, kolejności, usunięcie zadania lub korekta wynikająca z błędnego dopasowania kompetencji, obsady albo priorytetu.</w:t>
            </w:r>
          </w:p>
        </w:tc>
        <w:tc>
          <w:tcPr>
            <w:tcW w:type="dxa" w:w="170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Miesięcznie</w:t>
            </w:r>
          </w:p>
        </w:tc>
        <w:tc>
          <w:tcPr>
            <w:tcW w:type="dxa" w:w="2041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Właściciel procesu / Kierownik wykonawstwa</w:t>
            </w:r>
          </w:p>
        </w:tc>
        <w:tc>
          <w:tcPr>
            <w:tcW w:type="dxa" w:w="4195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Trend rosnący udziału rekomendacji zaakceptowanych bez istotnej korekty; próg docelowy po testach na danych historycznych.</w:t>
            </w:r>
          </w:p>
        </w:tc>
      </w:tr>
    </w:tbl>
    <w:p>
      <w:r>
        <w:br w:type="page"/>
      </w:r>
    </w:p>
    <w:p>
      <w:pPr>
        <w:pStyle w:val="Heading1"/>
      </w:pPr>
      <w:r>
        <w:t>4. Interpretacja korekt planu miesięcznego</w:t>
      </w:r>
    </w:p>
    <w:p>
      <w:pPr>
        <w:spacing w:after="80" w:before="0"/>
      </w:pPr>
      <w:r>
        <w:t>Wartość 15% korekt planu miesięcznego należy traktować jako punkt odniesienia do analizy stabilności planu, a nie jako wskaźnik do mechanicznego ograniczania. W pracach sieciowych część korekt jest prawidłową reakcją na sytuację operacyjną.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26"/>
        <w:gridCol w:w="3926"/>
        <w:gridCol w:w="3926"/>
        <w:gridCol w:w="3926"/>
      </w:tblGrid>
      <w:tr>
        <w:tc>
          <w:tcPr>
            <w:tcW w:type="dxa" w:w="2835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Typ korekty</w:t>
            </w:r>
          </w:p>
        </w:tc>
        <w:tc>
          <w:tcPr>
            <w:tcW w:type="dxa" w:w="453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Przykłady</w:t>
            </w:r>
          </w:p>
        </w:tc>
        <w:tc>
          <w:tcPr>
            <w:tcW w:type="dxa" w:w="3969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Jak traktować w KPI?</w:t>
            </w:r>
          </w:p>
        </w:tc>
        <w:tc>
          <w:tcPr>
            <w:tcW w:type="dxa" w:w="340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Cel zarządczy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Korekty uzasadnione operacyjnie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Awaria, absencja, pilna naprawa, zmiana terminu wyłączenia, zadanie o wyższym priorytecie.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Monitorować i klasyfikować przyczynę. Nie traktować automatycznie jako błędu procesu.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Zapewnić elastyczność operacyjną i bezpieczeństwo realizacji prac.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Korekty możliwe do ograniczenia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Błędne dane wejściowe, brak kompetencji, brak obsady, konflikt dostępności, konflikt terminu, zbyt późno wykryta kolizja wyłączenia.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Analizować jako obszar poprawy jakości danych, reguł planistycznych i walidacji.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Ograniczać przez lepsze dane, słowniki, kontrolę kompetencji i wcześniejsze wykrywanie konfliktów.</w:t>
            </w:r>
          </w:p>
        </w:tc>
      </w:tr>
    </w:tbl>
    <w:p>
      <w:pPr>
        <w:pStyle w:val="Heading1"/>
      </w:pPr>
      <w:r>
        <w:t>5. Praktyczny rejestr ryzyk</w:t>
      </w:r>
    </w:p>
    <w:p>
      <w:pPr>
        <w:spacing w:after="80" w:before="0"/>
      </w:pPr>
      <w:r>
        <w:t>Rejestr obejmuje ryzyka istotne dla wdrożenia rozwiązania wspierającego harmonogramowanie. Przyjęto model rekomendacyjny: system wspiera, a kierownik wykonawstwa zatwierdza harmonogram i decyzje operacyjne.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rPr>
          <w:tblHeader w:val="true"/>
        </w:trPr>
        <w:tc>
          <w:tcPr>
            <w:tcW w:type="dxa" w:w="793"/>
            <w:shd w:fill="1F4E79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608"/>
            <w:shd w:fill="1F4E79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Ryzyko</w:t>
            </w:r>
          </w:p>
        </w:tc>
        <w:tc>
          <w:tcPr>
            <w:tcW w:type="dxa" w:w="3742"/>
            <w:shd w:fill="1F4E79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Opis / skutek</w:t>
            </w:r>
          </w:p>
        </w:tc>
        <w:tc>
          <w:tcPr>
            <w:tcW w:type="dxa" w:w="1134"/>
            <w:shd w:fill="1F4E79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Priorytet</w:t>
            </w:r>
          </w:p>
        </w:tc>
        <w:tc>
          <w:tcPr>
            <w:tcW w:type="dxa" w:w="3175"/>
            <w:shd w:fill="1F4E79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Mitygacja</w:t>
            </w:r>
          </w:p>
        </w:tc>
        <w:tc>
          <w:tcPr>
            <w:tcW w:type="dxa" w:w="2835"/>
            <w:shd w:fill="1F4E79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Kontrola</w:t>
            </w:r>
          </w:p>
        </w:tc>
        <w:tc>
          <w:tcPr>
            <w:tcW w:type="dxa" w:w="2268"/>
            <w:shd w:fill="1F4E79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Właściciel</w:t>
            </w:r>
          </w:p>
        </w:tc>
      </w:tr>
      <w:tr>
        <w:trPr>
          <w:cantSplit/>
        </w:trPr>
        <w:tc>
          <w:tcPr>
            <w:tcW w:type="dxa" w:w="79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R-01</w:t>
            </w:r>
          </w:p>
        </w:tc>
        <w:tc>
          <w:tcPr>
            <w:tcW w:type="dxa" w:w="2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Zbyt wysoki poziom autonomii rozwiązania</w:t>
            </w:r>
          </w:p>
        </w:tc>
        <w:tc>
          <w:tcPr>
            <w:tcW w:type="dxa" w:w="374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Rozwiązanie zostanie potraktowane jako mechanizm samodzielnie zatwierdzający harmonogram, mimo że proces wymaga oceny człowieka.</w:t>
            </w:r>
          </w:p>
        </w:tc>
        <w:tc>
          <w:tcPr>
            <w:tcW w:type="dxa" w:w="113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Wysoki</w:t>
            </w:r>
          </w:p>
        </w:tc>
        <w:tc>
          <w:tcPr>
            <w:tcW w:type="dxa" w:w="317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Przyjąć model: system rekomenduje, kierownik zatwierdza.</w:t>
            </w:r>
          </w:p>
        </w:tc>
        <w:tc>
          <w:tcPr>
            <w:tcW w:type="dxa" w:w="283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Status harmonogramu: roboczy / rekomendowany / zatwierdzony.</w:t>
            </w:r>
          </w:p>
        </w:tc>
        <w:tc>
          <w:tcPr>
            <w:tcW w:type="dxa" w:w="22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Właściciel procesu / Kierownik wykonawstwa</w:t>
            </w:r>
          </w:p>
        </w:tc>
      </w:tr>
      <w:tr>
        <w:trPr>
          <w:cantSplit/>
        </w:trPr>
        <w:tc>
          <w:tcPr>
            <w:tcW w:type="dxa" w:w="79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R-02</w:t>
            </w:r>
          </w:p>
        </w:tc>
        <w:tc>
          <w:tcPr>
            <w:tcW w:type="dxa" w:w="2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Niepełne lub niespójne dane wejściowe</w:t>
            </w:r>
          </w:p>
        </w:tc>
        <w:tc>
          <w:tcPr>
            <w:tcW w:type="dxa" w:w="374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Braki w planie, katalogu zadań, HR, dostępności albo RDM mogą prowadzić do błędnych rekomendacji.</w:t>
            </w:r>
          </w:p>
        </w:tc>
        <w:tc>
          <w:tcPr>
            <w:tcW w:type="dxa" w:w="113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Wysoki</w:t>
            </w:r>
          </w:p>
        </w:tc>
        <w:tc>
          <w:tcPr>
            <w:tcW w:type="dxa" w:w="317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Walidacja kompletności danych przed harmonogramowaniem.</w:t>
            </w:r>
          </w:p>
        </w:tc>
        <w:tc>
          <w:tcPr>
            <w:tcW w:type="dxa" w:w="283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Raport braków: kompetencje, obsada, czasochłonność, jednostka, termin, wyłączenie.</w:t>
            </w:r>
          </w:p>
        </w:tc>
        <w:tc>
          <w:tcPr>
            <w:tcW w:type="dxa" w:w="22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Dział planowania / HR</w:t>
            </w:r>
          </w:p>
        </w:tc>
      </w:tr>
      <w:tr>
        <w:trPr>
          <w:cantSplit/>
        </w:trPr>
        <w:tc>
          <w:tcPr>
            <w:tcW w:type="dxa" w:w="79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R-03</w:t>
            </w:r>
          </w:p>
        </w:tc>
        <w:tc>
          <w:tcPr>
            <w:tcW w:type="dxa" w:w="2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Brak jednolitych słowników</w:t>
            </w:r>
          </w:p>
        </w:tc>
        <w:tc>
          <w:tcPr>
            <w:tcW w:type="dxa" w:w="374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Różne nazwy typów prac, kompetencji i priorytetów mogą prowadzić do błędnego dopasowania zadań do brygad.</w:t>
            </w:r>
          </w:p>
        </w:tc>
        <w:tc>
          <w:tcPr>
            <w:tcW w:type="dxa" w:w="113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Wysoki</w:t>
            </w:r>
          </w:p>
        </w:tc>
        <w:tc>
          <w:tcPr>
            <w:tcW w:type="dxa" w:w="317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Uzgodnić słowniki referencyjne i zasady mapowania danych.</w:t>
            </w:r>
          </w:p>
        </w:tc>
        <w:tc>
          <w:tcPr>
            <w:tcW w:type="dxa" w:w="283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Wersjonowanie słowników i akceptacja zmian przez właściciela procesu.</w:t>
            </w:r>
          </w:p>
        </w:tc>
        <w:tc>
          <w:tcPr>
            <w:tcW w:type="dxa" w:w="22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Właściciel procesu / Dział planowania / HR</w:t>
            </w:r>
          </w:p>
        </w:tc>
      </w:tr>
      <w:tr>
        <w:trPr>
          <w:cantSplit/>
        </w:trPr>
        <w:tc>
          <w:tcPr>
            <w:tcW w:type="dxa" w:w="79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R-04</w:t>
            </w:r>
          </w:p>
        </w:tc>
        <w:tc>
          <w:tcPr>
            <w:tcW w:type="dxa" w:w="2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Błędne przypisanie zadania do brygady</w:t>
            </w:r>
          </w:p>
        </w:tc>
        <w:tc>
          <w:tcPr>
            <w:tcW w:type="dxa" w:w="374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Zadanie może zostać przypisane do brygady bez wymaganych kompetencji lub minimalnej obsady.</w:t>
            </w:r>
          </w:p>
        </w:tc>
        <w:tc>
          <w:tcPr>
            <w:tcW w:type="dxa" w:w="113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Krytyczny</w:t>
            </w:r>
          </w:p>
        </w:tc>
        <w:tc>
          <w:tcPr>
            <w:tcW w:type="dxa" w:w="317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Twarda walidacja pokrycia kompetencji i obsady.</w:t>
            </w:r>
          </w:p>
        </w:tc>
        <w:tc>
          <w:tcPr>
            <w:tcW w:type="dxa" w:w="283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Blokada zatwierdzenia lub ostrzeżenie krytyczne wymagające decyzji.</w:t>
            </w:r>
          </w:p>
        </w:tc>
        <w:tc>
          <w:tcPr>
            <w:tcW w:type="dxa" w:w="22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Kierownik wykonawstwa / HR</w:t>
            </w:r>
          </w:p>
        </w:tc>
      </w:tr>
      <w:tr>
        <w:trPr>
          <w:cantSplit/>
        </w:trPr>
        <w:tc>
          <w:tcPr>
            <w:tcW w:type="dxa" w:w="79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R-05</w:t>
            </w:r>
          </w:p>
        </w:tc>
        <w:tc>
          <w:tcPr>
            <w:tcW w:type="dxa" w:w="2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Nieprawidłowa obsługa terminu sztywnego lub wyłączenia</w:t>
            </w:r>
          </w:p>
        </w:tc>
        <w:tc>
          <w:tcPr>
            <w:tcW w:type="dxa" w:w="374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Zadanie wymagające konkretnego terminu albo wyłączenia może zostać przesunięte jak zwykła praca planowa.</w:t>
            </w:r>
          </w:p>
        </w:tc>
        <w:tc>
          <w:tcPr>
            <w:tcW w:type="dxa" w:w="113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Krytyczny</w:t>
            </w:r>
          </w:p>
        </w:tc>
        <w:tc>
          <w:tcPr>
            <w:tcW w:type="dxa" w:w="317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Oznaczać takie zadania jako nieprzesuwalne bez decyzji kierownika.</w:t>
            </w:r>
          </w:p>
        </w:tc>
        <w:tc>
          <w:tcPr>
            <w:tcW w:type="dxa" w:w="283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Zmiana terminu wymaga uzasadnienia i zapisu decyzji.</w:t>
            </w:r>
          </w:p>
        </w:tc>
        <w:tc>
          <w:tcPr>
            <w:tcW w:type="dxa" w:w="22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Kierownik wykonawstwa / Dział planowania</w:t>
            </w:r>
          </w:p>
        </w:tc>
      </w:tr>
      <w:tr>
        <w:trPr>
          <w:cantSplit/>
        </w:trPr>
        <w:tc>
          <w:tcPr>
            <w:tcW w:type="dxa" w:w="79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R-06</w:t>
            </w:r>
          </w:p>
        </w:tc>
        <w:tc>
          <w:tcPr>
            <w:tcW w:type="dxa" w:w="2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Niewłaściwe przeplanowanie po awarii lub absencji</w:t>
            </w:r>
          </w:p>
        </w:tc>
        <w:tc>
          <w:tcPr>
            <w:tcW w:type="dxa" w:w="374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System może zaproponować zmianę bez pełnego uwzględnienia pilności, priorytetów i skutków dla planu miesięcznego.</w:t>
            </w:r>
          </w:p>
        </w:tc>
        <w:tc>
          <w:tcPr>
            <w:tcW w:type="dxa" w:w="113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Wysoki</w:t>
            </w:r>
          </w:p>
        </w:tc>
        <w:tc>
          <w:tcPr>
            <w:tcW w:type="dxa" w:w="317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Przeplanowanie ad hoc wyłącznie jako rekomendacja do zatwierdzenia.</w:t>
            </w:r>
          </w:p>
        </w:tc>
        <w:tc>
          <w:tcPr>
            <w:tcW w:type="dxa" w:w="283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Widok różnic: co dodano, co przesunięto, co trafiło do zaległości.</w:t>
            </w:r>
          </w:p>
        </w:tc>
        <w:tc>
          <w:tcPr>
            <w:tcW w:type="dxa" w:w="22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Kierownik wykonawstwa</w:t>
            </w:r>
          </w:p>
        </w:tc>
      </w:tr>
      <w:tr>
        <w:trPr>
          <w:cantSplit/>
        </w:trPr>
        <w:tc>
          <w:tcPr>
            <w:tcW w:type="dxa" w:w="79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R-07</w:t>
            </w:r>
          </w:p>
        </w:tc>
        <w:tc>
          <w:tcPr>
            <w:tcW w:type="dxa" w:w="2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Brak śladu decyzyjnego</w:t>
            </w:r>
          </w:p>
        </w:tc>
        <w:tc>
          <w:tcPr>
            <w:tcW w:type="dxa" w:w="374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Brak zapisu, dlaczego harmonogram lub korekta zostały przyjęte, ograniczy możliwość wyjaśnienia decyzji.</w:t>
            </w:r>
          </w:p>
        </w:tc>
        <w:tc>
          <w:tcPr>
            <w:tcW w:type="dxa" w:w="113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Średni / wysoki</w:t>
            </w:r>
          </w:p>
        </w:tc>
        <w:tc>
          <w:tcPr>
            <w:tcW w:type="dxa" w:w="317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Zapisywać uzasadnienie rekomendacji i decyzji człowieka.</w:t>
            </w:r>
          </w:p>
        </w:tc>
        <w:tc>
          <w:tcPr>
            <w:tcW w:type="dxa" w:w="283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Log rekomendacji, korekt i zatwierdzeń.</w:t>
            </w:r>
          </w:p>
        </w:tc>
        <w:tc>
          <w:tcPr>
            <w:tcW w:type="dxa" w:w="22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Właściciel procesu / IT</w:t>
            </w:r>
          </w:p>
        </w:tc>
      </w:tr>
      <w:tr>
        <w:trPr>
          <w:cantSplit/>
        </w:trPr>
        <w:tc>
          <w:tcPr>
            <w:tcW w:type="dxa" w:w="793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R-08</w:t>
            </w:r>
          </w:p>
        </w:tc>
        <w:tc>
          <w:tcPr>
            <w:tcW w:type="dxa" w:w="260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Brak trybu awaryjnego</w:t>
            </w:r>
          </w:p>
        </w:tc>
        <w:tc>
          <w:tcPr>
            <w:tcW w:type="dxa" w:w="3742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Niedostępność rozwiązania lub danych może zablokować harmonogramowanie.</w:t>
            </w:r>
          </w:p>
        </w:tc>
        <w:tc>
          <w:tcPr>
            <w:tcW w:type="dxa" w:w="1134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Wysoki</w:t>
            </w:r>
          </w:p>
        </w:tc>
        <w:tc>
          <w:tcPr>
            <w:tcW w:type="dxa" w:w="317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Utrzymać procedurę fallback do uzgodnionego szablonu manualnego.</w:t>
            </w:r>
          </w:p>
        </w:tc>
        <w:tc>
          <w:tcPr>
            <w:tcW w:type="dxa" w:w="2835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Instrukcja trybu awaryjnego i decyzja o przełączeniu na tryb manualny.</w:t>
            </w:r>
          </w:p>
        </w:tc>
        <w:tc>
          <w:tcPr>
            <w:tcW w:type="dxa" w:w="2268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shd w:fill="F8FBF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Kierownik wykonawstwa / IT</w:t>
            </w:r>
          </w:p>
        </w:tc>
      </w:tr>
    </w:tbl>
    <w:p>
      <w:r>
        <w:br w:type="page"/>
      </w:r>
    </w:p>
    <w:p>
      <w:pPr>
        <w:pStyle w:val="Heading1"/>
      </w:pPr>
      <w:r>
        <w:t>6. Elementy do potwierdzenia po warsztacie</w:t>
      </w:r>
    </w:p>
    <w:p>
      <w:pPr>
        <w:pStyle w:val="ListBullet"/>
        <w:spacing w:after="40"/>
      </w:pPr>
      <w:r>
        <w:t>Docelowa wartość KPI-01: liczba godzin oczekiwana dla przygotowania pierwszej wersji harmonogramu miesięcznego.</w:t>
      </w:r>
    </w:p>
    <w:p>
      <w:pPr>
        <w:pStyle w:val="ListBullet"/>
        <w:spacing w:after="40"/>
      </w:pPr>
      <w:r>
        <w:t>Definicja korekty planu miesięcznego: czy obejmuje wyłącznie zmianę terminu, czy także zmianę brygady, kolejności, zakresu albo statusu zadania.</w:t>
      </w:r>
    </w:p>
    <w:p>
      <w:pPr>
        <w:pStyle w:val="ListBullet"/>
        <w:spacing w:after="40"/>
      </w:pPr>
      <w:r>
        <w:t>Podział historycznych 15% korekt na korekty uzasadnione operacyjnie oraz korekty możliwe do ograniczenia.</w:t>
      </w:r>
    </w:p>
    <w:p>
      <w:pPr>
        <w:pStyle w:val="ListBullet"/>
        <w:spacing w:after="40"/>
      </w:pPr>
      <w:r>
        <w:t>Lista danych krytycznych dla zadań z terminem sztywnym, wyłączeniem i dopuszczeniem brygad zewnętrznych.</w:t>
      </w:r>
    </w:p>
    <w:p>
      <w:pPr>
        <w:pStyle w:val="ListBullet"/>
        <w:spacing w:after="40"/>
      </w:pPr>
      <w:r>
        <w:t>Odpowiedzialność za utrzymanie słowników zadań, kompetencji, priorytetów, jednostek i obszarów infrastruktury.</w:t>
      </w:r>
    </w:p>
    <w:sectPr w:rsidR="00FC693F" w:rsidRPr="0006063C" w:rsidSect="00034616">
      <w:footerReference w:type="default" r:id="rId9"/>
      <w:pgSz w:w="16838" w:h="11906" w:orient="landscape"/>
      <w:pgMar w:top="567" w:right="567" w:bottom="567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Nowa Energia | dokument dodatkowy z warsztatu uzupełniającego | KPI i ryzyka | wersja robocza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