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300"/>
              <w:left w:type="dxa" w:w="360"/>
              <w:bottom w:type="dxa" w:w="300"/>
              <w:right w:type="dxa" w:w="360"/>
            </w:tcMar>
          </w:tcPr>
          <w:p>
            <w:pPr>
              <w:spacing w:after="80" w:before="0"/>
              <w:jc w:val="center"/>
            </w:pPr>
            <w:r>
              <w:rPr>
                <w:rFonts w:ascii="Arial" w:cs="Arial" w:eastAsia="Arial" w:hAnsi="Arial"/>
                <w:b/>
                <w:bCs/>
                <w:color w:val="E8D44D"/>
                <w:sz w:val="60"/>
                <w:szCs w:val="60"/>
              </w:rPr>
              <w:t xml:space="preserve">GreenGo POS</w:t>
            </w:r>
          </w:p>
          <w:p>
            <w:pPr>
              <w:spacing w:after="60" w:before="0"/>
              <w:jc w:val="center"/>
            </w:pPr>
            <w:r>
              <w:rPr>
                <w:rFonts w:ascii="Arial" w:cs="Arial" w:eastAsia="Arial" w:hAnsi="Arial"/>
                <w:b/>
                <w:bCs/>
                <w:color w:val="FFFFFF"/>
                <w:sz w:val="30"/>
                <w:szCs w:val="30"/>
              </w:rPr>
              <w:t xml:space="preserve">CEO Directive &amp; Blueprint Addendum</w:t>
            </w:r>
          </w:p>
          <w:p>
            <w:pPr>
              <w:spacing w:after="40" w:before="0"/>
              <w:jc w:val="center"/>
            </w:pPr>
            <w:r>
              <w:rPr>
                <w:rFonts w:ascii="Arial" w:cs="Arial" w:eastAsia="Arial" w:hAnsi="Arial"/>
                <w:i/>
                <w:iCs/>
                <w:color w:val="52B788"/>
                <w:sz w:val="22"/>
                <w:szCs w:val="22"/>
              </w:rPr>
              <w:t xml:space="preserve">Official Update to Engineering Blueprint — Document Version 1.1</w:t>
            </w:r>
          </w:p>
          <w:p>
            <w:pPr>
              <w:spacing w:after="0" w:before="40"/>
              <w:jc w:val="center"/>
            </w:pPr>
            <w:r>
              <w:rPr>
                <w:rFonts w:ascii="Arial" w:cs="Arial" w:eastAsia="Arial" w:hAnsi="Arial"/>
                <w:b/>
                <w:bCs/>
                <w:color w:val="E8D44D"/>
                <w:sz w:val="19"/>
                <w:szCs w:val="19"/>
              </w:rPr>
              <w:t xml:space="preserve">BINDING ON ALL VERDENT.AI ENGINEERING &amp; AI DEVELOPMENT TEAMS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INTERNAL MEMORANDUM — OFFICIAL ENGINEERING DIRECTIVE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c>
          <w:tcPr>
            <w:tcW w:type="dxa" w:w="6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c>
          <w:tcPr>
            <w:tcW w:type="dxa" w:w="6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c>
          <w:tcPr>
            <w:tcW w:type="dxa" w:w="6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c>
          <w:tcPr>
            <w:tcW w:type="dxa" w:w="6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default"/>
            </w:r>
          </w:p>
        </w:tc>
      </w:tr>
    </w:tbl>
    <w:p>
      <w:r>
        <w:rPr>
          <w:sz w:val="12"/>
          <w:szCs w:val="12"/>
        </w:rPr>
        <w:t xml:space="preserve"/>
      </w:r>
    </w:p>
    <w:p>
      <w:pPr>
        <w:pBdr>
          <w:bottom w:val="single" w:color="B8860B" w:sz="3" w:space="1"/>
        </w:pBdr>
        <w:spacing w:after="120" w:before="120"/>
      </w:pPr>
      <w:r>
        <w:t xml:space="preserv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6608" w:sz="18"/>
              <w:bottom w:val="none" w:color="FFFFFF" w:sz="0"/>
              <w:right w:val="none" w:color="FFFFFF" w:sz="0"/>
            </w:tcBorders>
            <w:shd w:fill="FEF9E7" w:val="clear"/>
            <w:tcMar>
              <w:top w:type="dxa" w:w="100"/>
              <w:left w:type="dxa" w:w="200"/>
              <w:bottom w:type="dxa" w:w="100"/>
              <w:right w:type="dxa" w:w="140"/>
            </w:tcMar>
          </w:tcPr>
          <w:p>
            <w:pPr>
              <w:spacing w:after="40" w:before="0"/>
            </w:pPr>
            <w:r>
              <w:rPr>
                <w:rFonts w:ascii="Arial" w:cs="Arial" w:eastAsia="Arial" w:hAnsi="Arial"/>
                <w:b/>
                <w:bCs/>
                <w:color w:val="7D6608"/>
                <w:sz w:val="18"/>
                <w:szCs w:val="18"/>
              </w:rPr>
              <w:t xml:space="preserve">[CEO MANDATE]  </w:t>
            </w:r>
            <w:r>
              <w:rPr>
                <w:rFonts w:ascii="Arial" w:cs="Arial" w:eastAsia="Arial" w:hAnsi="Arial"/>
                <w:i w:val="false"/>
                <w:iCs w:val="false"/>
                <w:color w:val="1C1C1C"/>
                <w:sz w:val="19"/>
                <w:szCs w:val="19"/>
              </w:rPr>
              <w:t xml:space="preserve">This document constitutes a formal engineering directive issued by the GreenGo CEO and Architecture Board. It resolves all pending decisions flagged in Blueprint v1.0 and issues binding mandates for immediate execution. All items in this addendum are classified as P0 unless explicitly stated otherwise. Engineering team leads must acknowledge receipt of this directive in writing (via sprint ticket) before commencing any related development work.</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1 — EXECUTIVE DECISION: PERISHABLE RETURNS &amp; REFUND POLICY</w:t>
            </w:r>
          </w:p>
        </w:tc>
      </w:tr>
    </w:tbl>
    <w:p>
      <w:r>
        <w:rPr>
          <w:sz w:val="12"/>
          <w:szCs w:val="12"/>
        </w:rPr>
        <w:t xml:space="preserve"/>
      </w:r>
    </w:p>
    <w:p>
      <w:pPr>
        <w:pStyle w:val="Heading1"/>
        <w:pBdr>
          <w:bottom w:val="single" w:color="52B788" w:sz="6" w:space="6"/>
        </w:pBdr>
        <w:spacing w:after="140" w:before="320"/>
      </w:pPr>
      <w:r>
        <w:rPr>
          <w:rFonts w:ascii="Arial" w:cs="Arial" w:eastAsia="Arial" w:hAnsi="Arial"/>
          <w:b/>
          <w:bCs/>
          <w:color w:val="1A3C34"/>
          <w:sz w:val="34"/>
          <w:szCs w:val="34"/>
        </w:rPr>
        <w:t xml:space="preserve">1. Perishable Returns Policy — Official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6A4F" w:sz="18"/>
              <w:bottom w:val="none" w:color="FFFFFF" w:sz="0"/>
              <w:right w:val="none" w:color="FFFFFF" w:sz="0"/>
            </w:tcBorders>
            <w:shd w:fill="D5F5E3" w:val="clear"/>
            <w:tcMar>
              <w:top w:type="dxa" w:w="100"/>
              <w:left w:type="dxa" w:w="200"/>
              <w:bottom w:type="dxa" w:w="100"/>
              <w:right w:type="dxa" w:w="140"/>
            </w:tcMar>
          </w:tcPr>
          <w:p>
            <w:pPr>
              <w:spacing w:after="40" w:before="0"/>
            </w:pPr>
            <w:r>
              <w:rPr>
                <w:rFonts w:ascii="Arial" w:cs="Arial" w:eastAsia="Arial" w:hAnsi="Arial"/>
                <w:b/>
                <w:bCs/>
                <w:color w:val="2D6A4F"/>
                <w:sz w:val="18"/>
                <w:szCs w:val="18"/>
              </w:rPr>
              <w:t xml:space="preserve">[DECISION CONFIRMED]  </w:t>
            </w:r>
            <w:r>
              <w:rPr>
                <w:rFonts w:ascii="Arial" w:cs="Arial" w:eastAsia="Arial" w:hAnsi="Arial"/>
                <w:i w:val="false"/>
                <w:iCs w:val="false"/>
                <w:color w:val="1C1C1C"/>
                <w:sz w:val="19"/>
                <w:szCs w:val="19"/>
              </w:rPr>
              <w:t xml:space="preserve">DECISION RECORD: The CEO has officially selected Option B (Conditional Restock). This decision resolves the open item from Blueprint v1.0 Section 7.3. Development of the returns engine must begin in Sprint 2 and must be complete before any store goes live. There is no further discussion on this policy choice.</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1.1 Policy Statement (Binding)</w:t>
      </w:r>
    </w:p>
    <w:p>
      <w:pPr>
        <w:spacing w:after="60" w:before="60"/>
      </w:pPr>
      <w:r>
        <w:rPr>
          <w:rFonts w:ascii="Arial" w:cs="Arial" w:eastAsia="Arial" w:hAnsi="Arial"/>
          <w:b w:val="false"/>
          <w:bCs w:val="false"/>
          <w:i w:val="false"/>
          <w:iCs w:val="false"/>
          <w:color w:val="1C1C1C"/>
          <w:sz w:val="20"/>
          <w:szCs w:val="20"/>
        </w:rPr>
        <w:t xml:space="preserve">A returned fresh produce or perishable item may be restocked into live inventory if and only if BOTH of the following conditions are satisfied simultaneously: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Condition</w:t>
            </w:r>
          </w:p>
        </w:tc>
        <w:tc>
          <w:tcPr>
            <w:tcW w:type="dxa" w:w="38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Requirement</w:t>
            </w:r>
          </w:p>
        </w:tc>
        <w:tc>
          <w:tcPr>
            <w:tcW w:type="dxa" w:w="39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Enforcement Mechanism</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Time Window</w:t>
            </w:r>
          </w:p>
        </w:tc>
        <w:tc>
          <w:tcPr>
            <w:tcW w:type="dxa" w:w="3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 must be initiated within 30 minutes of the original transaction timestamp (server_received_at — authoritative clock only).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POS calculates elapsed time from server_received_at of original sale. If elapsed time &gt; 1800 seconds: restock path is disabled at the UI level. System auto-routes to Waste/Shrinkage.</w:t>
            </w:r>
          </w:p>
        </w:tc>
      </w:tr>
      <w:tr>
        <w:tc>
          <w:tcPr>
            <w:tcW w:type="dxa" w:w="16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Manager Inspection</w:t>
            </w:r>
          </w:p>
        </w:tc>
        <w:tc>
          <w:tcPr>
            <w:tcW w:type="dxa" w:w="3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A store manager or authorized supervisor must physically inspect the item and approve the return via Manager PIN entry in the POS.</w:t>
            </w:r>
          </w:p>
        </w:tc>
        <w:tc>
          <w:tcPr>
            <w:tcW w:type="dxa" w:w="3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Manager PIN entry is a mandatory, non-bypassable UI gate. No code path exists that completes a restock without a recorded manager_approved_by value.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ADBD8" w:val="clear"/>
            <w:tcMar>
              <w:top w:type="dxa" w:w="100"/>
              <w:left w:type="dxa" w:w="200"/>
              <w:bottom w:type="dxa" w:w="100"/>
              <w:right w:type="dxa" w:w="140"/>
            </w:tcMar>
          </w:tcPr>
          <w:p>
            <w:pPr>
              <w:spacing w:after="40" w:before="0"/>
            </w:pPr>
            <w:r>
              <w:rPr>
                <w:rFonts w:ascii="Arial" w:cs="Arial" w:eastAsia="Arial" w:hAnsi="Arial"/>
                <w:b/>
                <w:bCs/>
                <w:color w:val="C0392B"/>
                <w:sz w:val="18"/>
                <w:szCs w:val="18"/>
              </w:rPr>
              <w:t xml:space="preserve">[CRITICAL DIRECTIVE]  </w:t>
            </w:r>
            <w:r>
              <w:rPr>
                <w:rFonts w:ascii="Arial" w:cs="Arial" w:eastAsia="Arial" w:hAnsi="Arial"/>
                <w:i w:val="false"/>
                <w:iCs w:val="false"/>
                <w:color w:val="1C1C1C"/>
                <w:sz w:val="19"/>
                <w:szCs w:val="19"/>
              </w:rPr>
              <w:t xml:space="preserve">If EITHER condition fails — time window exceeded OR manager refuses/is unavailable — the system MUST automatically and without exception route the item to the Waste/Shrinkage database. The cashier has no override ability for this routing decision.</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1.2 Return Transaction State Machine</w:t>
      </w:r>
    </w:p>
    <w:p>
      <w:pPr>
        <w:spacing w:after="60" w:before="60"/>
      </w:pPr>
      <w:r>
        <w:rPr>
          <w:rFonts w:ascii="Arial" w:cs="Arial" w:eastAsia="Arial" w:hAnsi="Arial"/>
          <w:b w:val="false"/>
          <w:bCs w:val="false"/>
          <w:i w:val="false"/>
          <w:iCs w:val="false"/>
          <w:color w:val="1C1C1C"/>
          <w:sz w:val="20"/>
          <w:szCs w:val="20"/>
        </w:rPr>
        <w:t xml:space="preserve">The following decision logic is mandatory. Engineers must implement this as an explicit state machine, not as a series of if/else branches: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State</w:t>
            </w:r>
          </w:p>
        </w:tc>
        <w:tc>
          <w:tcPr>
            <w:tcW w:type="dxa" w:w="20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Trigger</w:t>
            </w:r>
          </w:p>
        </w:tc>
        <w:tc>
          <w:tcPr>
            <w:tcW w:type="dxa" w:w="20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Next State</w:t>
            </w:r>
          </w:p>
        </w:tc>
        <w:tc>
          <w:tcPr>
            <w:tcW w:type="dxa" w:w="35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System Action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RETURN_INITIATED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Cashier scans or selects original transaction for return.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TIME_CHECK</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POS fetches original transaction. Extracts server_received_at. Calculates elapsed_seconds = NOW() - server_received_at.</w:t>
            </w:r>
          </w:p>
        </w:tc>
      </w:tr>
      <w:tr>
        <w:tc>
          <w:tcPr>
            <w:tcW w:type="dxa" w:w="1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TIME_CHECK</w:t>
            </w:r>
          </w:p>
        </w:tc>
        <w:tc>
          <w:tcPr>
            <w:tcW w:type="dxa" w:w="2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Elapsed time evaluated.</w:t>
            </w:r>
          </w:p>
        </w:tc>
        <w:tc>
          <w:tcPr>
            <w:tcW w:type="dxa" w:w="2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INSPECTION_PENDING (if &lt;= 1800s) OR WASTE_ROUTED (if &gt; 1800s)</w:t>
            </w:r>
          </w:p>
        </w:tc>
        <w:tc>
          <w:tcPr>
            <w:tcW w:type="dxa" w:w="35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If &gt; 1800s: display 'Return window expired. Item will be recorded as waste.' Proceed to WASTE_ROUTED automatically.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INSPECTION_PENDING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Time window passed.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RESTOCK_APPROVED or WASTE_ROUTED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Display: 'Manager inspection required. Please enter Manager PIN to approve restock.' PIN entry screen presented.</w:t>
            </w:r>
          </w:p>
        </w:tc>
      </w:tr>
      <w:tr>
        <w:tc>
          <w:tcPr>
            <w:tcW w:type="dxa" w:w="1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RESTOCK_APPROVED</w:t>
            </w:r>
          </w:p>
        </w:tc>
        <w:tc>
          <w:tcPr>
            <w:tcW w:type="dxa" w:w="2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Valid Manager PIN entered.</w:t>
            </w:r>
          </w:p>
        </w:tc>
        <w:tc>
          <w:tcPr>
            <w:tcW w:type="dxa" w:w="2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INVENTORY_UPDATED</w:t>
            </w:r>
          </w:p>
        </w:tc>
        <w:tc>
          <w:tcPr>
            <w:tcW w:type="dxa" w:w="35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Lot association re-established. inventory_events record created: type=RETURN_RESTOCK. allocated_stock incremented. Receipt updated with restock confirmation.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WASTE_ROUTED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Time expired OR manager denies/unavailable.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WASTE_RECORDED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waste_records entry created automatically: reason_code=RETURN_EXPIRED or RETURN_REJECTED. manager_id = null (or denying manager's ID). Refund processed. Item NOT added to inventory.</w:t>
            </w:r>
          </w:p>
        </w:tc>
      </w:tr>
      <w:tr>
        <w:tc>
          <w:tcPr>
            <w:tcW w:type="dxa" w:w="1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WASTE_RECORDED / INVENTORY_UPDATED</w:t>
            </w:r>
          </w:p>
        </w:tc>
        <w:tc>
          <w:tcPr>
            <w:tcW w:type="dxa" w:w="2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Terminal state.</w:t>
            </w:r>
          </w:p>
        </w:tc>
        <w:tc>
          <w:tcPr>
            <w:tcW w:type="dxa" w:w="2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COMPLETE</w:t>
            </w:r>
          </w:p>
        </w:tc>
        <w:tc>
          <w:tcPr>
            <w:tcW w:type="dxa" w:w="35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 transaction closed. Audit log entry created. Shift summary updated.</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1.3 Data Model Amendments (ADR-003 Extension)</w:t>
      </w:r>
    </w:p>
    <w:p>
      <w:pPr>
        <w:spacing w:after="60" w:before="60"/>
      </w:pPr>
      <w:r>
        <w:rPr>
          <w:rFonts w:ascii="Arial" w:cs="Arial" w:eastAsia="Arial" w:hAnsi="Arial"/>
          <w:b w:val="false"/>
          <w:bCs w:val="false"/>
          <w:i w:val="false"/>
          <w:iCs w:val="false"/>
          <w:color w:val="1C1C1C"/>
          <w:sz w:val="20"/>
          <w:szCs w:val="20"/>
        </w:rPr>
        <w:t xml:space="preserve">The following additions are mandated to the data schema. These amendments extend ADR-003 and must be implemented before any BOM or returns code is written:</w:t>
      </w:r>
    </w:p>
    <w:p>
      <w:r>
        <w:rPr>
          <w:sz w:val="12"/>
          <w:szCs w:val="1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2960"/>
      </w:tblGrid>
      <w:tr>
        <w:trPr>
          <w:tblHeader/>
        </w:trPr>
        <w:tc>
          <w:tcPr>
            <w:tcW w:type="dxa" w:w="24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Table / Column</w:t>
            </w:r>
          </w:p>
        </w:tc>
        <w:tc>
          <w:tcPr>
            <w:tcW w:type="dxa" w:w="14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Type</w:t>
            </w:r>
          </w:p>
        </w:tc>
        <w:tc>
          <w:tcPr>
            <w:tcW w:type="dxa" w:w="24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Constraint</w:t>
            </w:r>
          </w:p>
        </w:tc>
        <w:tc>
          <w:tcPr>
            <w:tcW w:type="dxa" w:w="29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returns.return_id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UUIDv7</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PRIMARY KEY</w:t>
            </w:r>
          </w:p>
        </w:tc>
        <w:tc>
          <w:tcPr>
            <w:tcW w:type="dxa" w:w="2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Unique identifier for each return transaction.</w: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returns.original_transaction_id</w:t>
            </w:r>
          </w:p>
        </w:tc>
        <w:tc>
          <w:tcPr>
            <w:tcW w:type="dxa" w:w="1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UUIDv7</w:t>
            </w:r>
          </w:p>
        </w:tc>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FK → transactions(id), NOT NULL</w:t>
            </w:r>
          </w:p>
        </w:tc>
        <w:tc>
          <w:tcPr>
            <w:tcW w:type="dxa" w:w="2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Links return to the original sale.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returns.original_server_received_at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NOT NULL — copied from original transaction at return initiation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Immutable reference for time window calculation. Never use client timestamp.</w: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returns.initiated_at</w:t>
            </w:r>
          </w:p>
        </w:tc>
        <w:tc>
          <w:tcPr>
            <w:tcW w:type="dxa" w:w="1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TIMESTAMPTZ</w:t>
            </w:r>
          </w:p>
        </w:tc>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NOT NULL — server_received_at of the return initiation call</w:t>
            </w:r>
          </w:p>
        </w:tc>
        <w:tc>
          <w:tcPr>
            <w:tcW w:type="dxa" w:w="2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Authoritative return initiation time.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returns.elapsed_seconds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GENERATED ALWAYS AS (EXTRACT(EPOCH FROM (initiated_at - original_server_received_at)))</w:t>
            </w:r>
          </w:p>
        </w:tc>
        <w:tc>
          <w:tcPr>
            <w:tcW w:type="dxa" w:w="2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Computed column. Used for time window enforcement and audit.</w: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returns.route</w:t>
            </w:r>
          </w:p>
        </w:tc>
        <w:tc>
          <w:tcPr>
            <w:tcW w:type="dxa" w:w="1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ENUM('RESTOCK', 'WASTE')</w:t>
            </w:r>
          </w:p>
        </w:tc>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NOT NULL</w:t>
            </w:r>
          </w:p>
        </w:tc>
        <w:tc>
          <w:tcPr>
            <w:tcW w:type="dxa" w:w="2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The routing decision. Set by the state machine. Immutable after creation.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returns.manager_approved_by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UUIDv7</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FK → staff(id), NULL allowed only when route='WASTE'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Manager who approved restock. NULL if routed to waste.</w: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returns.manager_pin_verified_at</w:t>
            </w:r>
          </w:p>
        </w:tc>
        <w:tc>
          <w:tcPr>
            <w:tcW w:type="dxa" w:w="1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TIMESTAMPTZ</w:t>
            </w:r>
          </w:p>
        </w:tc>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NOT NULL if route='RESTOCK', NULL if route='WASTE'</w:t>
            </w:r>
          </w:p>
        </w:tc>
        <w:tc>
          <w:tcPr>
            <w:tcW w:type="dxa" w:w="2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Server timestamp of manager PIN verification event.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returns.waste_record_id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UUIDv7</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FK → waste_records(id), NOT NULL if route='WASTE'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Reference to the auto-created waste record.</w: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inventory_events.event_type</w:t>
            </w:r>
          </w:p>
        </w:tc>
        <w:tc>
          <w:tcPr>
            <w:tcW w:type="dxa" w:w="1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ENUM — add 'RETURN_RESTOCK'</w:t>
            </w:r>
          </w:p>
        </w:tc>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Extends existing enum</w:t>
            </w:r>
          </w:p>
        </w:tc>
        <w:tc>
          <w:tcPr>
            <w:tcW w:type="dxa" w:w="2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Distinct event type for restock-from-return. Enables clean reporting separation from regular stock intake.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ADBD8" w:val="clear"/>
            <w:tcMar>
              <w:top w:type="dxa" w:w="100"/>
              <w:left w:type="dxa" w:w="200"/>
              <w:bottom w:type="dxa" w:w="100"/>
              <w:right w:type="dxa" w:w="140"/>
            </w:tcMar>
          </w:tcPr>
          <w:p>
            <w:pPr>
              <w:spacing w:after="40" w:before="0"/>
            </w:pPr>
            <w:r>
              <w:rPr>
                <w:rFonts w:ascii="Arial" w:cs="Arial" w:eastAsia="Arial" w:hAnsi="Arial"/>
                <w:b/>
                <w:bCs/>
                <w:color w:val="C0392B"/>
                <w:sz w:val="18"/>
                <w:szCs w:val="18"/>
              </w:rPr>
              <w:t xml:space="preserve">[CRITICAL DIRECTIVE]  </w:t>
            </w:r>
            <w:r>
              <w:rPr>
                <w:rFonts w:ascii="Arial" w:cs="Arial" w:eastAsia="Arial" w:hAnsi="Arial"/>
                <w:i w:val="false"/>
                <w:iCs w:val="false"/>
                <w:color w:val="1C1C1C"/>
                <w:sz w:val="19"/>
                <w:szCs w:val="19"/>
              </w:rPr>
              <w:t xml:space="preserve">VERDENT.AI DIRECTIVE: Write a test suite with the following mandatory scenarios before returns code is merged: (1) Return at 29 minutes — must route to RESTOCK path and require Manager PIN. (2) Return at 31 minutes — must auto-route to WASTE with no restock option displayed. (3) Return at 29 minutes, Manager PIN rejected — must route to WASTE. (4) Attempt to manually override route='RESTOCK' via direct API call without valid manager_pin_verified_at — must be rejected with 403 at the API layer.</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1.4 Receipt &amp; Reporting Requirements</w:t>
      </w:r>
    </w:p>
    <w:p>
      <w:pPr>
        <w:pStyle w:val="ListParagraph"/>
        <w:numPr>
          <w:ilvl w:val="0"/>
          <w:numId w:val="2"/>
        </w:numPr>
        <w:spacing w:after="40" w:before="40"/>
      </w:pPr>
      <w:r>
        <w:rPr>
          <w:rFonts w:ascii="Arial" w:cs="Arial" w:eastAsia="Arial" w:hAnsi="Arial"/>
          <w:b w:val="false"/>
          <w:bCs w:val="false"/>
          <w:color w:val="1C1C1C"/>
          <w:sz w:val="19"/>
          <w:szCs w:val="19"/>
        </w:rPr>
        <w:t xml:space="preserve">The return receipt must clearly print: RETURN TYPE (Restock / Waste Routed), original transaction reference, elapsed time in minutes, and manager name (if approved).</w:t>
      </w:r>
    </w:p>
    <w:p>
      <w:pPr>
        <w:pStyle w:val="ListParagraph"/>
        <w:numPr>
          <w:ilvl w:val="0"/>
          <w:numId w:val="2"/>
        </w:numPr>
        <w:spacing w:after="40" w:before="40"/>
      </w:pPr>
      <w:r>
        <w:rPr>
          <w:rFonts w:ascii="Arial" w:cs="Arial" w:eastAsia="Arial" w:hAnsi="Arial"/>
          <w:b w:val="false"/>
          <w:bCs w:val="false"/>
          <w:color w:val="1C1C1C"/>
          <w:sz w:val="19"/>
          <w:szCs w:val="19"/>
        </w:rPr>
        <w:t xml:space="preserve">The end-of-day shift report must include a dedicated 'Returns Summary' section: total returns, restock count, waste-routed count, and total refund value.</w:t>
      </w:r>
    </w:p>
    <w:p>
      <w:pPr>
        <w:pStyle w:val="ListParagraph"/>
        <w:numPr>
          <w:ilvl w:val="0"/>
          <w:numId w:val="2"/>
        </w:numPr>
        <w:spacing w:after="40" w:before="40"/>
      </w:pPr>
      <w:r>
        <w:rPr>
          <w:rFonts w:ascii="Arial" w:cs="Arial" w:eastAsia="Arial" w:hAnsi="Arial"/>
          <w:b w:val="false"/>
          <w:bCs w:val="false"/>
          <w:color w:val="1C1C1C"/>
          <w:sz w:val="19"/>
          <w:szCs w:val="19"/>
        </w:rPr>
        <w:t xml:space="preserve">The Super-Admin dashboard must surface a 'Returns Analytics' widget per store: daily return rate as a % of transactions, restock ratio, and returns that were waste-routed due to time expiry (a potential indicator of slow checkout processes).</w:t>
      </w:r>
    </w:p>
    <w:p>
      <w:r>
        <w:rPr>
          <w:sz w:val="12"/>
          <w:szCs w:val="12"/>
        </w:rPr>
        <w:t xml:space="preserve"/>
      </w:r>
    </w:p>
    <w:p>
      <w:pPr>
        <w:pBdr>
          <w:bottom w:val="single" w:color="B8860B" w:sz="3" w:space="1"/>
        </w:pBdr>
        <w:spacing w:after="120" w:before="120"/>
      </w:pPr>
      <w:r>
        <w:t xml:space="preserv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2 — CEO MANDATE: IMMEDIATE PHASE 2 TRANSITION (NO PAUSE POLICY)</w:t>
            </w:r>
          </w:p>
        </w:tc>
      </w:tr>
    </w:tbl>
    <w:p>
      <w:r>
        <w:rPr>
          <w:sz w:val="12"/>
          <w:szCs w:val="12"/>
        </w:rPr>
        <w:t xml:space="preserve"/>
      </w:r>
    </w:p>
    <w:p>
      <w:pPr>
        <w:pStyle w:val="Heading1"/>
        <w:pBdr>
          <w:bottom w:val="single" w:color="52B788" w:sz="6" w:space="6"/>
        </w:pBdr>
        <w:spacing w:after="140" w:before="320"/>
      </w:pPr>
      <w:r>
        <w:rPr>
          <w:rFonts w:ascii="Arial" w:cs="Arial" w:eastAsia="Arial" w:hAnsi="Arial"/>
          <w:b/>
          <w:bCs/>
          <w:color w:val="1A3C34"/>
          <w:sz w:val="34"/>
          <w:szCs w:val="34"/>
        </w:rPr>
        <w:t xml:space="preserve">2. Phase 2 Transition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6608" w:sz="18"/>
              <w:bottom w:val="none" w:color="FFFFFF" w:sz="0"/>
              <w:right w:val="none" w:color="FFFFFF" w:sz="0"/>
            </w:tcBorders>
            <w:shd w:fill="FEF9E7" w:val="clear"/>
            <w:tcMar>
              <w:top w:type="dxa" w:w="100"/>
              <w:left w:type="dxa" w:w="200"/>
              <w:bottom w:type="dxa" w:w="100"/>
              <w:right w:type="dxa" w:w="140"/>
            </w:tcMar>
          </w:tcPr>
          <w:p>
            <w:pPr>
              <w:spacing w:after="40" w:before="0"/>
            </w:pPr>
            <w:r>
              <w:rPr>
                <w:rFonts w:ascii="Arial" w:cs="Arial" w:eastAsia="Arial" w:hAnsi="Arial"/>
                <w:b/>
                <w:bCs/>
                <w:color w:val="7D6608"/>
                <w:sz w:val="18"/>
                <w:szCs w:val="18"/>
              </w:rPr>
              <w:t xml:space="preserve">[CEO MANDATE]  </w:t>
            </w:r>
            <w:r>
              <w:rPr>
                <w:rFonts w:ascii="Arial" w:cs="Arial" w:eastAsia="Arial" w:hAnsi="Arial"/>
                <w:i w:val="false"/>
                <w:iCs w:val="false"/>
                <w:color w:val="1C1C1C"/>
                <w:sz w:val="19"/>
                <w:szCs w:val="19"/>
              </w:rPr>
              <w:t xml:space="preserve">CEO MANDATE — NO PAUSE POLICY: There will be no hiatus, stabilization sprint, or planning gap between Phase 1 (MVP) production launch and Phase 2 development commencement. The moment Phase 1 achieves Production Stability (defined in Section 2.1), the Verdent.ai team will immediately pivot to Phase 2 work streams in parallel. This is a business-critical directive driven by competitive positioning. Engineering teams must plan resource allocation accordingly — Phase 2 architecture and data infrastructure work begins in Sprint 4 of Phase 1, not after.</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2.1 Production Stability Definition (Phase 1 Exit Criteria)</w:t>
      </w:r>
    </w:p>
    <w:p>
      <w:pPr>
        <w:spacing w:after="60" w:before="60"/>
      </w:pPr>
      <w:r>
        <w:rPr>
          <w:rFonts w:ascii="Arial" w:cs="Arial" w:eastAsia="Arial" w:hAnsi="Arial"/>
          <w:b w:val="false"/>
          <w:bCs w:val="false"/>
          <w:i w:val="false"/>
          <w:iCs w:val="false"/>
          <w:color w:val="1C1C1C"/>
          <w:sz w:val="20"/>
          <w:szCs w:val="20"/>
        </w:rPr>
        <w:t xml:space="preserve">Phase 1 is deemed Production Stable when ALL of the following criteria are met simultaneously. This is not a subjective judgment — it is a checklist: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Criterion</w:t>
            </w:r>
          </w:p>
        </w:tc>
        <w:tc>
          <w:tcPr>
            <w:tcW w:type="dxa" w:w="32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Threshold</w:t>
            </w:r>
          </w:p>
        </w:tc>
        <w:tc>
          <w:tcPr>
            <w:tcW w:type="dxa" w:w="39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Measurement Method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Transaction Error Rate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&lt; 0.1% of all transactions result in a system error (not user error) over a 7-day rolling window.</w:t>
            </w:r>
          </w:p>
        </w:tc>
        <w:tc>
          <w:tcPr>
            <w:tcW w:type="dxa" w:w="3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Sentry error rate dashboard per transaction type.</w:t>
            </w:r>
          </w:p>
        </w:tc>
      </w:tr>
      <w:tr>
        <w:tc>
          <w:tcPr>
            <w:tcW w:type="dxa" w:w="22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Sync Success Rate</w:t>
            </w:r>
          </w:p>
        </w:tc>
        <w:tc>
          <w:tcPr>
            <w:tcW w:type="dxa" w:w="32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&gt; 99.5% of offline deduction batches sync successfully within 5 minutes of reconnection.</w:t>
            </w:r>
          </w:p>
        </w:tc>
        <w:tc>
          <w:tcPr>
            <w:tcW w:type="dxa" w:w="3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Backend sync API success rate metric in Grafana/Loki.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P95 Receipt Print Latency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&lt; 3 seconds from sale confirmation to print complete.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HardwareIOService PRINT_ACK event latency, logged per transaction.</w:t>
            </w:r>
          </w:p>
        </w:tc>
      </w:tr>
      <w:tr>
        <w:tc>
          <w:tcPr>
            <w:tcW w:type="dxa" w:w="22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Zero P0 Security Incidents</w:t>
            </w:r>
          </w:p>
        </w:tc>
        <w:tc>
          <w:tcPr>
            <w:tcW w:type="dxa" w:w="32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No open PCI-related findings, no SQLCipher bypass, no PAN data detected in logs.</w:t>
            </w:r>
          </w:p>
        </w:tc>
        <w:tc>
          <w:tcPr>
            <w:tcW w:type="dxa" w:w="3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Weekly security scan results. PCI QSA pre-audit sign-off.</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Store Coverage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Minimum 2 live stores, each running for 14 consecutive days without a data-loss incident.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Operations report.</w:t>
            </w:r>
          </w:p>
        </w:tc>
      </w:tr>
      <w:tr>
        <w:tc>
          <w:tcPr>
            <w:tcW w:type="dxa" w:w="22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Shrinkage Data Baseline</w:t>
            </w:r>
          </w:p>
        </w:tc>
        <w:tc>
          <w:tcPr>
            <w:tcW w:type="dxa" w:w="32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Minimum 30 days of shrinkage/waste data collected across live stores. Required for Phase 2 ML training.</w:t>
            </w:r>
          </w:p>
        </w:tc>
        <w:tc>
          <w:tcPr>
            <w:tcW w:type="dxa" w:w="3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waste_records table row count and date range.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276" w:sz="18"/>
              <w:bottom w:val="none" w:color="FFFFFF" w:sz="0"/>
              <w:right w:val="none" w:color="FFFFFF" w:sz="0"/>
            </w:tcBorders>
            <w:shd w:fill="D6EAF8" w:val="clear"/>
            <w:tcMar>
              <w:top w:type="dxa" w:w="100"/>
              <w:left w:type="dxa" w:w="200"/>
              <w:bottom w:type="dxa" w:w="100"/>
              <w:right w:type="dxa" w:w="140"/>
            </w:tcMar>
          </w:tcPr>
          <w:p>
            <w:pPr>
              <w:spacing w:after="40" w:before="0"/>
            </w:pPr>
            <w:r>
              <w:rPr>
                <w:rFonts w:ascii="Arial" w:cs="Arial" w:eastAsia="Arial" w:hAnsi="Arial"/>
                <w:b/>
                <w:bCs/>
                <w:color w:val="1A5276"/>
                <w:sz w:val="18"/>
                <w:szCs w:val="18"/>
              </w:rPr>
              <w:t xml:space="preserve">[NOTE]  </w:t>
            </w:r>
            <w:r>
              <w:rPr>
                <w:rFonts w:ascii="Arial" w:cs="Arial" w:eastAsia="Arial" w:hAnsi="Arial"/>
                <w:i w:val="false"/>
                <w:iCs w:val="false"/>
                <w:color w:val="1C1C1C"/>
                <w:sz w:val="19"/>
                <w:szCs w:val="19"/>
              </w:rPr>
              <w:t xml:space="preserve">The shrinkage data baseline criterion (30 days minimum) is the reason Phase 2 ML work cannot start from zero at MVP launch. Phase 1 data collection is the training pipeline for Phase 2 models. This is why the No Pause Policy requires parallel preparation — infrastructure must be ready the moment data is sufficient.</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2.2 Phase 2 Workstream 1: Analytics Data Warehouse</w:t>
      </w:r>
    </w:p>
    <w:p>
      <w:pPr>
        <w:pStyle w:val="Heading3"/>
        <w:spacing w:after="80" w:before="180"/>
      </w:pPr>
      <w:r>
        <w:rPr>
          <w:rFonts w:ascii="Arial" w:cs="Arial" w:eastAsia="Arial" w:hAnsi="Arial"/>
          <w:b/>
          <w:bCs/>
          <w:color w:val="1A5276"/>
          <w:sz w:val="22"/>
          <w:szCs w:val="22"/>
        </w:rPr>
        <w:t xml:space="preserve">Mandate</w:t>
      </w:r>
    </w:p>
    <w:p>
      <w:pPr>
        <w:spacing w:after="60" w:before="60"/>
      </w:pPr>
      <w:r>
        <w:rPr>
          <w:rFonts w:ascii="Arial" w:cs="Arial" w:eastAsia="Arial" w:hAnsi="Arial"/>
          <w:b w:val="false"/>
          <w:bCs w:val="false"/>
          <w:i w:val="false"/>
          <w:iCs w:val="false"/>
          <w:color w:val="1C1C1C"/>
          <w:sz w:val="20"/>
          <w:szCs w:val="20"/>
        </w:rPr>
        <w:t xml:space="preserve">A dedicated analytics database, completely isolated from the Phase 1 PostgreSQL transactional database, must be provisioned and receiving data before Phase 1 goes live. This is not a Phase 2 task — it is a Phase 1 Sprint 4 prerequisite.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Decision Item</w:t>
            </w:r>
          </w:p>
        </w:tc>
        <w:tc>
          <w:tcPr>
            <w:tcW w:type="dxa" w:w="69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Mandate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Analytics DB Technology</w: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ClickHouse (preferred for production scale) or DuckDB (acceptable for MVP analytics with &lt; 10 tenants). Decision must be made by Sprint 3. ClickHouse is the forward-compatible choice.</w: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ETL Pipeline</w:t>
            </w:r>
          </w:p>
        </w:tc>
        <w:tc>
          <w:tcPr>
            <w:tcW w:type="dxa" w:w="6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A real-time ETL pipeline (using PostgreSQL logical replication or a CDC tool such as Debezium) must stream events from the OLTP PostgreSQL DB to ClickHouse. Target latency: &lt; 5 minutes from transaction to analytics availability.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Data Isolation Guarantee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No analytical query (NLP, BI, ML training) is ever executed against the live PostgreSQL transactional database. This is an architectural hard rule enforced by network policy — the analytics DB and OLTP DB are on separate network segments with no inbound query path from analytics tools to OLTP.</w:t>
            </w:r>
          </w:p>
        </w:tc>
      </w:tr>
      <w:tr>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Initial Data Models</w:t>
            </w:r>
          </w:p>
        </w:tc>
        <w:tc>
          <w:tcPr>
            <w:tcW w:type="dxa" w:w="69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The following ClickHouse tables must be designed in Sprint 4: fact_transactions, fact_inventory_events, fact_waste_records, dim_products, dim_stores, dim_lots, dim_staff. Columnar storage, partitioned by event_date.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Tenant Isolation in Analytics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Each tenant's analytics data is isolated by a tenant_id partition key. The NLP/BI layer enforces tenant_id filtering at query generation time — no cross-tenant data leakage is possible in generated SQL.</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ADBD8" w:val="clear"/>
            <w:tcMar>
              <w:top w:type="dxa" w:w="100"/>
              <w:left w:type="dxa" w:w="200"/>
              <w:bottom w:type="dxa" w:w="100"/>
              <w:right w:type="dxa" w:w="140"/>
            </w:tcMar>
          </w:tcPr>
          <w:p>
            <w:pPr>
              <w:spacing w:after="40" w:before="0"/>
            </w:pPr>
            <w:r>
              <w:rPr>
                <w:rFonts w:ascii="Arial" w:cs="Arial" w:eastAsia="Arial" w:hAnsi="Arial"/>
                <w:b/>
                <w:bCs/>
                <w:color w:val="C0392B"/>
                <w:sz w:val="18"/>
                <w:szCs w:val="18"/>
              </w:rPr>
              <w:t xml:space="preserve">[CRITICAL DIRECTIVE]  </w:t>
            </w:r>
            <w:r>
              <w:rPr>
                <w:rFonts w:ascii="Arial" w:cs="Arial" w:eastAsia="Arial" w:hAnsi="Arial"/>
                <w:i w:val="false"/>
                <w:iCs w:val="false"/>
                <w:color w:val="1C1C1C"/>
                <w:sz w:val="19"/>
                <w:szCs w:val="19"/>
              </w:rPr>
              <w:t xml:space="preserve">VERDENT.AI DIRECTIVE: A ClickHouse schema design document must be produced and reviewed by the Architecture Board before Sprint 4 ends. The ETL pipeline must be smoke-tested with synthetic data before Phase 1 production launch. Analytical tools must be confirmed working before the Phase 2 AI sprint begins.</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2.3 Phase 2 Workstream 2: Conversational BI (Text-to-SQL NLP)</w:t>
      </w:r>
    </w:p>
    <w:p>
      <w:pPr>
        <w:pStyle w:val="Heading3"/>
        <w:spacing w:after="80" w:before="180"/>
      </w:pPr>
      <w:r>
        <w:rPr>
          <w:rFonts w:ascii="Arial" w:cs="Arial" w:eastAsia="Arial" w:hAnsi="Arial"/>
          <w:b/>
          <w:bCs/>
          <w:color w:val="1A5276"/>
          <w:sz w:val="22"/>
          <w:szCs w:val="22"/>
        </w:rPr>
        <w:t xml:space="preserve">Vision &amp; Scope</w:t>
      </w:r>
    </w:p>
    <w:p>
      <w:pPr>
        <w:spacing w:after="60" w:before="60"/>
      </w:pPr>
      <w:r>
        <w:rPr>
          <w:rFonts w:ascii="Arial" w:cs="Arial" w:eastAsia="Arial" w:hAnsi="Arial"/>
          <w:b w:val="false"/>
          <w:bCs w:val="false"/>
          <w:i w:val="false"/>
          <w:iCs w:val="false"/>
          <w:color w:val="1C1C1C"/>
          <w:sz w:val="20"/>
          <w:szCs w:val="20"/>
        </w:rPr>
        <w:t xml:space="preserve">Store managers and the Super-Admin CEO panel gain a natural language query interface. A manager types or speaks: 'Why did organic juice sales drop 15% last Tuesday?' The system generates a SQL query against the ClickHouse analytics DB, executes it, and returns a structured natural language answer with supporting data.</w:t>
      </w:r>
    </w:p>
    <w:p>
      <w:r>
        <w:rPr>
          <w:sz w:val="12"/>
          <w:szCs w:val="12"/>
        </w:rPr>
        <w:t xml:space="preserve"/>
      </w:r>
    </w:p>
    <w:p>
      <w:pPr>
        <w:pStyle w:val="Heading3"/>
        <w:spacing w:after="80" w:before="180"/>
      </w:pPr>
      <w:r>
        <w:rPr>
          <w:rFonts w:ascii="Arial" w:cs="Arial" w:eastAsia="Arial" w:hAnsi="Arial"/>
          <w:b/>
          <w:bCs/>
          <w:color w:val="1A5276"/>
          <w:sz w:val="22"/>
          <w:szCs w:val="22"/>
        </w:rPr>
        <w:t xml:space="preserve">Architecture Mandates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Component</w:t>
            </w:r>
          </w:p>
        </w:tc>
        <w:tc>
          <w:tcPr>
            <w:tcW w:type="dxa" w:w="34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Technology Decision</w:t>
            </w:r>
          </w:p>
        </w:tc>
        <w:tc>
          <w:tcPr>
            <w:tcW w:type="dxa" w:w="41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Constraint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NLP Model</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Claude API (Anthropic) or GPT-4o via API — NOT a self-hosted model for MVP. Evaluated on query accuracy against GreenGo schema.</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Model must be prompted with ClickHouse schema context. System prompt includes tenant_id enforcement instructions. No model fine-tuning required at MVP.</w:t>
            </w:r>
          </w:p>
        </w:tc>
      </w:tr>
      <w:tr>
        <w:tc>
          <w:tcPr>
            <w:tcW w:type="dxa" w:w="1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Text-to-SQL Pipeline</w:t>
            </w:r>
          </w:p>
        </w:tc>
        <w:tc>
          <w:tcPr>
            <w:tcW w:type="dxa" w:w="3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User query → LLM prompt (with schema + tenant context) → Generated SQL → SQL validation layer → ClickHouse execution → Result formatting → Natural language response.</w:t>
            </w:r>
          </w:p>
        </w:tc>
        <w:tc>
          <w:tcPr>
            <w:tcW w:type="dxa" w:w="41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Generated SQL must pass a validation layer (syntax check + tenant_id WHERE clause presence verification) before execution. SQL that references tables outside the analytics schema is rejected.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Query Safety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All generated SQL is SELECT only. The ClickHouse analytics user has SELECT-only privileges. No INSERT, UPDATE, DELETE, or DDL is possible.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Enforced at the database user permission level, not just application logic.</w:t>
            </w:r>
          </w:p>
        </w:tc>
      </w:tr>
      <w:tr>
        <w:tc>
          <w:tcPr>
            <w:tcW w:type="dxa" w:w="1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UI Integration</w:t>
            </w:r>
          </w:p>
        </w:tc>
        <w:tc>
          <w:tcPr>
            <w:tcW w:type="dxa" w:w="3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Conversational BI panel available in: (a) Super-Admin Dashboard (CEO view — cross-tenant analytics), (b) Tenant Owner portal (own-tenant view only). Mobile-friendly input for store managers.</w:t>
            </w:r>
          </w:p>
        </w:tc>
        <w:tc>
          <w:tcPr>
            <w:tcW w:type="dxa" w:w="41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The Super-Admin view generates SQL with no tenant_id filter. The Tenant Owner view always injects AND tenant_id = '{tenant_id}' into every generated query — non-removable.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Accuracy Baseline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Before production release, the NLP query system must demonstrate &gt;= 80% correct query generation on a test set of 50 representative manager questions specific to the fresh produce domain.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Test set must be created by the Product Manager in collaboration with a store operations stakeholder. Accuracy test is a release gate.</w:t>
            </w:r>
          </w:p>
        </w:tc>
      </w:tr>
    </w:tbl>
    <w:p>
      <w:r>
        <w:rPr>
          <w:sz w:val="12"/>
          <w:szCs w:val="12"/>
        </w:rPr>
        <w:t xml:space="preserve"/>
      </w:r>
    </w:p>
    <w:p>
      <w:pPr>
        <w:pStyle w:val="Heading3"/>
        <w:spacing w:after="80" w:before="180"/>
      </w:pPr>
      <w:r>
        <w:rPr>
          <w:rFonts w:ascii="Arial" w:cs="Arial" w:eastAsia="Arial" w:hAnsi="Arial"/>
          <w:b/>
          <w:bCs/>
          <w:color w:val="1A5276"/>
          <w:sz w:val="22"/>
          <w:szCs w:val="22"/>
        </w:rPr>
        <w:t xml:space="preserve">Sample Query Types (Training Context for Verdent.ai)</w:t>
      </w:r>
    </w:p>
    <w:p>
      <w:pPr>
        <w:spacing w:after="60" w:before="60"/>
      </w:pPr>
      <w:r>
        <w:rPr>
          <w:rFonts w:ascii="Arial" w:cs="Arial" w:eastAsia="Arial" w:hAnsi="Arial"/>
          <w:b w:val="false"/>
          <w:bCs w:val="false"/>
          <w:i w:val="false"/>
          <w:iCs w:val="false"/>
          <w:color w:val="1C1C1C"/>
          <w:sz w:val="20"/>
          <w:szCs w:val="20"/>
        </w:rPr>
        <w:t xml:space="preserve">The NLP system must be capable of handling these query categories. Engineers must validate against all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Query Category</w:t>
            </w:r>
          </w:p>
        </w:tc>
        <w:tc>
          <w:tcPr>
            <w:tcW w:type="dxa" w:w="34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Example Query</w:t>
            </w:r>
          </w:p>
        </w:tc>
        <w:tc>
          <w:tcPr>
            <w:tcW w:type="dxa" w:w="41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Expected ClickHouse Tables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Sales Performance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'What were the top 5 selling products by revenue last week?'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fact_transactions, dim_products</w:t>
            </w:r>
          </w:p>
        </w:tc>
      </w:tr>
      <w:tr>
        <w:tc>
          <w:tcPr>
            <w:tcW w:type="dxa" w:w="1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Waste Analysis</w:t>
            </w:r>
          </w:p>
        </w:tc>
        <w:tc>
          <w:tcPr>
            <w:tcW w:type="dxa" w:w="3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'Which ingredient had the highest waste percentage this month?'</w:t>
            </w:r>
          </w:p>
        </w:tc>
        <w:tc>
          <w:tcPr>
            <w:tcW w:type="dxa" w:w="41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fact_waste_records, dim_products, fact_inventory_events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Yield Variance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'Show me lots where actual yield was more than 10% below nominal yield.'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fact_inventory_events, dim_lots</w:t>
            </w:r>
          </w:p>
        </w:tc>
      </w:tr>
      <w:tr>
        <w:tc>
          <w:tcPr>
            <w:tcW w:type="dxa" w:w="1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Demand Trends</w:t>
            </w:r>
          </w:p>
        </w:tc>
        <w:tc>
          <w:tcPr>
            <w:tcW w:type="dxa" w:w="3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'How did sales of cut fruit change over the last 30 days compared to the 30 days before?'</w:t>
            </w:r>
          </w:p>
        </w:tc>
        <w:tc>
          <w:tcPr>
            <w:tcW w:type="dxa" w:w="41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fact_transactions, dim_products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Shift Performance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'Which cashier processed the most transactions on Monday?'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fact_transactions, dim_staff</w:t>
            </w:r>
          </w:p>
        </w:tc>
      </w:tr>
      <w:tr>
        <w:tc>
          <w:tcPr>
            <w:tcW w:type="dxa" w:w="1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Stock Depletion</w:t>
            </w:r>
          </w:p>
        </w:tc>
        <w:tc>
          <w:tcPr>
            <w:tcW w:type="dxa" w:w="3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'Which products ran out of stock more than 3 times last week?'</w:t>
            </w:r>
          </w:p>
        </w:tc>
        <w:tc>
          <w:tcPr>
            <w:tcW w:type="dxa" w:w="41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fact_inventory_events, dim_products</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2.4 Phase 2 Workstream 3: Computer Vision — YOLOv11 Produce Recognition</w:t>
      </w:r>
    </w:p>
    <w:p>
      <w:pPr>
        <w:pStyle w:val="Heading3"/>
        <w:spacing w:after="80" w:before="180"/>
      </w:pPr>
      <w:r>
        <w:rPr>
          <w:rFonts w:ascii="Arial" w:cs="Arial" w:eastAsia="Arial" w:hAnsi="Arial"/>
          <w:b/>
          <w:bCs/>
          <w:color w:val="1A5276"/>
          <w:sz w:val="22"/>
          <w:szCs w:val="22"/>
        </w:rPr>
        <w:t xml:space="preserve">Mandate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ADBD8" w:val="clear"/>
            <w:tcMar>
              <w:top w:type="dxa" w:w="100"/>
              <w:left w:type="dxa" w:w="200"/>
              <w:bottom w:type="dxa" w:w="100"/>
              <w:right w:type="dxa" w:w="140"/>
            </w:tcMar>
          </w:tcPr>
          <w:p>
            <w:pPr>
              <w:spacing w:after="40" w:before="0"/>
            </w:pPr>
            <w:r>
              <w:rPr>
                <w:rFonts w:ascii="Arial" w:cs="Arial" w:eastAsia="Arial" w:hAnsi="Arial"/>
                <w:b/>
                <w:bCs/>
                <w:color w:val="C0392B"/>
                <w:sz w:val="18"/>
                <w:szCs w:val="18"/>
              </w:rPr>
              <w:t xml:space="preserve">[CRITICAL DIRECTIVE]  </w:t>
            </w:r>
            <w:r>
              <w:rPr>
                <w:rFonts w:ascii="Arial" w:cs="Arial" w:eastAsia="Arial" w:hAnsi="Arial"/>
                <w:i w:val="false"/>
                <w:iCs w:val="false"/>
                <w:color w:val="1C1C1C"/>
                <w:sz w:val="19"/>
                <w:szCs w:val="19"/>
              </w:rPr>
              <w:t xml:space="preserve">YOLOv11 produce recognition is an ADVISORY ASSISTANCE tool. It must never be in the blocking checkout path. If the model is unavailable, slow, or returns low confidence, the checkout proceeds normally via manual PLU entry. A broken vision system must not slow down a single transaction.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Requirement</w:t>
            </w:r>
          </w:p>
        </w:tc>
        <w:tc>
          <w:tcPr>
            <w:tcW w:type="dxa" w:w="73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Specification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Hardware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A dedicated USB camera (minimum 1080p, 30fps) mounted above the checkout scale, angled at 45 degrees. Camera is managed by HardwareIOService as a new device type: VISION_CAMERA. All camera I/O is isolated in HardwareIOService — the UI layer receives only inference results, never raw video frames.</w:t>
            </w:r>
          </w:p>
        </w:tc>
      </w:tr>
      <w:tr>
        <w:tc>
          <w:tcPr>
            <w:tcW w:type="dxa" w:w="2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Model</w:t>
            </w:r>
          </w:p>
        </w:tc>
        <w:tc>
          <w:tcPr>
            <w:tcW w:type="dxa" w:w="73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YOLOv11n or YOLOv11s (nano or small variant) for on-device inference on Android. If on-device latency &gt; 800ms: offload inference to a backend microservice (FastAPI + ONNX Runtime). Target inference latency: &lt; 600ms from stable weight event to classification result.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Training Data</w:t>
            </w:r>
          </w:p>
        </w:tc>
        <w:tc>
          <w:tcPr>
            <w:tcW w:type="dxa" w:w="7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Initial model must be trained on a produce dataset covering: (a) the specific produce varieties sold by GreenGo clients (regional Moroccan produce required — cannot rely on generic ImageNet produce classes), (b) minimum 500 images per class, (c) images captured under the actual store lighting conditions. Product Manager must arrange data collection sessions at a partner store before model training begins.</w:t>
            </w:r>
          </w:p>
        </w:tc>
      </w:tr>
      <w:tr>
        <w:tc>
          <w:tcPr>
            <w:tcW w:type="dxa" w:w="2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Confidence Threshold</w:t>
            </w:r>
          </w:p>
        </w:tc>
        <w:tc>
          <w:tcPr>
            <w:tcW w:type="dxa" w:w="73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If model confidence &lt; 70%: suggestion is NOT shown to cashier. If confidence &gt;= 70% and &lt; 90%: suggestion shown with a visual 'Low Confidence' warning badge. If confidence &gt;= 90%: suggestion shown prominently. In all cases, cashier can accept suggestion (one tap) or dismiss and enter PLU manually.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UI Integration</w:t>
            </w:r>
          </w:p>
        </w:tc>
        <w:tc>
          <w:tcPr>
            <w:tcW w:type="dxa" w:w="7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Vision suggestion appears as a floating card above the cart UI: product image thumbnail, suggested product name, confidence percentage, and weight from scale. Cashier taps 'Accept' or 'Not Correct'. Rejected suggestions are logged for model retraining data.</w:t>
            </w:r>
          </w:p>
        </w:tc>
      </w:tr>
      <w:tr>
        <w:tc>
          <w:tcPr>
            <w:tcW w:type="dxa" w:w="2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Privacy</w:t>
            </w:r>
          </w:p>
        </w:tc>
        <w:tc>
          <w:tcPr>
            <w:tcW w:type="dxa" w:w="73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No video footage is stored. Only inference results are logged. Camera stream is processed in real-time and discarded. This must be stated explicitly in the tenant privacy policy.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Accuracy Release Gate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Minimum 85% top-1 accuracy on a held-out test set of 200 images before any production deployment. Accuracy must be measured per-produce-class — no class may have accuracy below 70%.</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2.5 Phase 2 Workstream 4: Predictive ML — Demand Forecasting &amp; Waste Prediction</w:t>
      </w:r>
    </w:p>
    <w:p>
      <w:pPr>
        <w:pStyle w:val="Heading3"/>
        <w:spacing w:after="80" w:before="180"/>
      </w:pPr>
      <w:r>
        <w:rPr>
          <w:rFonts w:ascii="Arial" w:cs="Arial" w:eastAsia="Arial" w:hAnsi="Arial"/>
          <w:b/>
          <w:bCs/>
          <w:color w:val="1A5276"/>
          <w:sz w:val="22"/>
          <w:szCs w:val="22"/>
        </w:rPr>
        <w:t xml:space="preserve">Strategic Purpose</w:t>
      </w:r>
    </w:p>
    <w:p>
      <w:pPr>
        <w:spacing w:after="60" w:before="60"/>
      </w:pPr>
      <w:r>
        <w:rPr>
          <w:rFonts w:ascii="Arial" w:cs="Arial" w:eastAsia="Arial" w:hAnsi="Arial"/>
          <w:b w:val="false"/>
          <w:bCs w:val="false"/>
          <w:i w:val="false"/>
          <w:iCs w:val="false"/>
          <w:color w:val="1C1C1C"/>
          <w:sz w:val="20"/>
          <w:szCs w:val="20"/>
        </w:rPr>
        <w:t xml:space="preserve">The shrinkage and waste data collected meticulously in Phase 1 is not merely an operational record — it is the primary training dataset for Phase 2 predictive models. This is why the Phase 1 shrinkage recording UI must be used consistently from day one of go-live.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160"/>
        <w:gridCol w:w="2400"/>
      </w:tblGrid>
      <w:tr>
        <w:trPr>
          <w:tblHeader/>
        </w:trPr>
        <w:tc>
          <w:tcPr>
            <w:tcW w:type="dxa" w:w="20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Model</w:t>
            </w:r>
          </w:p>
        </w:tc>
        <w:tc>
          <w:tcPr>
            <w:tcW w:type="dxa" w:w="28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Input Features</w:t>
            </w:r>
          </w:p>
        </w:tc>
        <w:tc>
          <w:tcPr>
            <w:tcW w:type="dxa" w:w="21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Output</w:t>
            </w:r>
          </w:p>
        </w:tc>
        <w:tc>
          <w:tcPr>
            <w:tcW w:type="dxa" w:w="24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Minimum Training Data Required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Demand Forecasting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Historical daily sales per SKU, day-of-week, week-of-month, local public holidays, weather data (optional API), promotional events, lot yield variance.</w:t>
            </w:r>
          </w:p>
        </w:tc>
        <w:tc>
          <w:tcPr>
            <w:tcW w:type="dxa" w:w="2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Predicted sales volume per SKU for next 7 days. Confidence interval (80% and 95%).</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90 days of daily sales data per SKU. SKUs with fewer than 30 observations are excluded from initial model scope.</w:t>
            </w:r>
          </w:p>
        </w:tc>
      </w:tr>
      <w:tr>
        <w:tc>
          <w:tcPr>
            <w:tcW w:type="dxa" w:w="2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Waste Prediction</w:t>
            </w:r>
          </w:p>
        </w:tc>
        <w:tc>
          <w:tcPr>
            <w:tcW w:type="dxa" w:w="2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Historical waste_records per ingredient, lot yield variance, days since lot receipt, nominal vs actual yield delta, current stock level.</w:t>
            </w:r>
          </w:p>
        </w:tc>
        <w:tc>
          <w:tcPr>
            <w:tcW w:type="dxa" w:w="21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Probability of waste event for each active lot in next 24/48 hours. Recommended markdown trigger threshold.</w:t>
            </w:r>
          </w:p>
        </w:tc>
        <w:tc>
          <w:tcPr>
            <w:tcW w:type="dxa" w:w="2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30 days of waste records (Phase 1 exit criterion ensures this is met). Model improves continuously with ongoing data.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Reorder Point Optimization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Demand forecast output, current stock level, supplier lead time (manual config), waste prediction output.</w:t>
            </w:r>
          </w:p>
        </w:tc>
        <w:tc>
          <w:tcPr>
            <w:tcW w:type="dxa" w:w="2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Recommended reorder quantity and reorder point per SKU per store.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Requires demand forecasting model to be operational first. Not in initial Phase 2 sprint.</w:t>
            </w:r>
          </w:p>
        </w:tc>
      </w:tr>
    </w:tbl>
    <w:p>
      <w:r>
        <w:rPr>
          <w:sz w:val="12"/>
          <w:szCs w:val="12"/>
        </w:rPr>
        <w:t xml:space="preserve"/>
      </w:r>
    </w:p>
    <w:p>
      <w:pPr>
        <w:pStyle w:val="Heading3"/>
        <w:spacing w:after="80" w:before="180"/>
      </w:pPr>
      <w:r>
        <w:rPr>
          <w:rFonts w:ascii="Arial" w:cs="Arial" w:eastAsia="Arial" w:hAnsi="Arial"/>
          <w:b/>
          <w:bCs/>
          <w:color w:val="1A5276"/>
          <w:sz w:val="22"/>
          <w:szCs w:val="22"/>
        </w:rPr>
        <w:t xml:space="preserve">ML Infrastructure Mandates</w:t>
      </w:r>
    </w:p>
    <w:p>
      <w:pPr>
        <w:pStyle w:val="ListParagraph"/>
        <w:numPr>
          <w:ilvl w:val="0"/>
          <w:numId w:val="2"/>
        </w:numPr>
        <w:spacing w:after="40" w:before="40"/>
      </w:pPr>
      <w:r>
        <w:rPr>
          <w:rFonts w:ascii="Arial" w:cs="Arial" w:eastAsia="Arial" w:hAnsi="Arial"/>
          <w:b w:val="false"/>
          <w:bCs w:val="false"/>
          <w:color w:val="1C1C1C"/>
          <w:sz w:val="19"/>
          <w:szCs w:val="19"/>
        </w:rPr>
        <w:t xml:space="preserve">Model training runs on a separate ML infrastructure (not the API servers). Options: AWS SageMaker, Google Vertex AI, or self-hosted with MLflow for experiment tracking.</w:t>
      </w:r>
    </w:p>
    <w:p>
      <w:pPr>
        <w:pStyle w:val="ListParagraph"/>
        <w:numPr>
          <w:ilvl w:val="0"/>
          <w:numId w:val="2"/>
        </w:numPr>
        <w:spacing w:after="40" w:before="40"/>
      </w:pPr>
      <w:r>
        <w:rPr>
          <w:rFonts w:ascii="Arial" w:cs="Arial" w:eastAsia="Arial" w:hAnsi="Arial"/>
          <w:b w:val="false"/>
          <w:bCs w:val="false"/>
          <w:color w:val="1C1C1C"/>
          <w:sz w:val="19"/>
          <w:szCs w:val="19"/>
        </w:rPr>
        <w:t xml:space="preserve">Models are versioned. Every production model has a version tag, training data snapshot reference, and accuracy metrics on file. Rollback to a previous model version must be executable in &lt; 10 minutes.</w:t>
      </w:r>
    </w:p>
    <w:p>
      <w:pPr>
        <w:pStyle w:val="ListParagraph"/>
        <w:numPr>
          <w:ilvl w:val="0"/>
          <w:numId w:val="2"/>
        </w:numPr>
        <w:spacing w:after="40" w:before="40"/>
      </w:pPr>
      <w:r>
        <w:rPr>
          <w:rFonts w:ascii="Arial" w:cs="Arial" w:eastAsia="Arial" w:hAnsi="Arial"/>
          <w:b w:val="false"/>
          <w:bCs w:val="false"/>
          <w:color w:val="1C1C1C"/>
          <w:sz w:val="19"/>
          <w:szCs w:val="19"/>
        </w:rPr>
        <w:t xml:space="preserve">Predictions are served via a dedicated ML inference microservice (FastAPI + ONNX Runtime or TorchServe). The POS API calls this service — it does not run inference inline.</w:t>
      </w:r>
    </w:p>
    <w:p>
      <w:pPr>
        <w:pStyle w:val="ListParagraph"/>
        <w:numPr>
          <w:ilvl w:val="0"/>
          <w:numId w:val="2"/>
        </w:numPr>
        <w:spacing w:after="40" w:before="40"/>
      </w:pPr>
      <w:r>
        <w:rPr>
          <w:rFonts w:ascii="Arial" w:cs="Arial" w:eastAsia="Arial" w:hAnsi="Arial"/>
          <w:b w:val="false"/>
          <w:bCs w:val="false"/>
          <w:color w:val="1C1C1C"/>
          <w:sz w:val="19"/>
          <w:szCs w:val="19"/>
        </w:rPr>
        <w:t xml:space="preserve">Model predictions are advisory. No system action (purchase order, markdown) is triggered automatically without manager confirmation. Phase 2 provides recommendations; humans make decisions.</w:t>
      </w:r>
    </w:p>
    <w:p>
      <w:pPr>
        <w:pStyle w:val="ListParagraph"/>
        <w:numPr>
          <w:ilvl w:val="0"/>
          <w:numId w:val="2"/>
        </w:numPr>
        <w:spacing w:after="40" w:before="40"/>
      </w:pPr>
      <w:r>
        <w:rPr>
          <w:rFonts w:ascii="Arial" w:cs="Arial" w:eastAsia="Arial" w:hAnsi="Arial"/>
          <w:b w:val="false"/>
          <w:bCs w:val="false"/>
          <w:color w:val="1C1C1C"/>
          <w:sz w:val="19"/>
          <w:szCs w:val="19"/>
        </w:rPr>
        <w:t xml:space="preserve">A/B testing framework must be built into the prediction serving layer from day one to allow model comparison in production without requiring separate deployments.</w:t>
      </w:r>
    </w:p>
    <w:p>
      <w:r>
        <w:rPr>
          <w:sz w:val="12"/>
          <w:szCs w:val="12"/>
        </w:rPr>
        <w:t xml:space="preserve"/>
      </w:r>
    </w:p>
    <w:p>
      <w:pPr>
        <w:pBdr>
          <w:bottom w:val="single" w:color="B8860B" w:sz="3" w:space="1"/>
        </w:pBdr>
        <w:spacing w:after="120" w:before="120"/>
      </w:pPr>
      <w:r>
        <w:t xml:space="preserv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3 — UPDATED SPRINT PLAN: PHASE 1/2 PARALLEL EXECUTION</w:t>
            </w:r>
          </w:p>
        </w:tc>
      </w:tr>
    </w:tbl>
    <w:p>
      <w:r>
        <w:rPr>
          <w:sz w:val="12"/>
          <w:szCs w:val="12"/>
        </w:rPr>
        <w:t xml:space="preserve"/>
      </w:r>
    </w:p>
    <w:p>
      <w:pPr>
        <w:pStyle w:val="Heading1"/>
        <w:pBdr>
          <w:bottom w:val="single" w:color="52B788" w:sz="6" w:space="6"/>
        </w:pBdr>
        <w:spacing w:after="140" w:before="320"/>
      </w:pPr>
      <w:r>
        <w:rPr>
          <w:rFonts w:ascii="Arial" w:cs="Arial" w:eastAsia="Arial" w:hAnsi="Arial"/>
          <w:b/>
          <w:bCs/>
          <w:color w:val="1A3C34"/>
          <w:sz w:val="34"/>
          <w:szCs w:val="34"/>
        </w:rPr>
        <w:t xml:space="preserve">3. Revised Sprint Cadence — Parallel Phase Execution</w:t>
      </w:r>
    </w:p>
    <w:p>
      <w:pPr>
        <w:spacing w:after="60" w:before="60"/>
      </w:pPr>
      <w:r>
        <w:rPr>
          <w:rFonts w:ascii="Arial" w:cs="Arial" w:eastAsia="Arial" w:hAnsi="Arial"/>
          <w:b w:val="false"/>
          <w:bCs w:val="false"/>
          <w:i w:val="false"/>
          <w:iCs w:val="false"/>
          <w:color w:val="1C1C1C"/>
          <w:sz w:val="20"/>
          <w:szCs w:val="20"/>
        </w:rPr>
        <w:t xml:space="preserve">The No Pause Policy requires Phase 2 infrastructure work to begin during Phase 1 Sprint 4. The following table defines the parallel workstreams: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460"/>
        <w:gridCol w:w="1600"/>
      </w:tblGrid>
      <w:tr>
        <w:trPr>
          <w:tblHeader/>
        </w:trPr>
        <w:tc>
          <w:tcPr>
            <w:tcW w:type="dxa" w:w="13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Sprint</w:t>
            </w:r>
          </w:p>
        </w:tc>
        <w:tc>
          <w:tcPr>
            <w:tcW w:type="dxa" w:w="30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Phase 1 Work (Completion)</w:t>
            </w:r>
          </w:p>
        </w:tc>
        <w:tc>
          <w:tcPr>
            <w:tcW w:type="dxa" w:w="34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Phase 2 Parallel Work (Preparation)</w:t>
            </w:r>
          </w:p>
        </w:tc>
        <w:tc>
          <w:tcPr>
            <w:tcW w:type="dxa" w:w="16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Gate to Unlock</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1–3
(Weeks 1–9)</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Core POS engine, hardware service, sync, security, payments. (Per Blueprint v1.0)</w:t>
            </w:r>
          </w:p>
        </w:tc>
        <w:tc>
          <w:tcPr>
            <w:tcW w:type="dxa" w:w="3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None. Full focus on Phase 1 foundation.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Phase 1 Sprint 3 complete.</w:t>
            </w:r>
          </w:p>
        </w:tc>
      </w:tr>
      <w:tr>
        <w:tc>
          <w:tcPr>
            <w:tcW w:type="dxa" w:w="13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4
(Weeks 10–12)</w:t>
            </w:r>
          </w:p>
        </w:tc>
        <w:tc>
          <w:tcPr>
            <w:tcW w:type="dxa" w:w="3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MDM, observability, public portal, UAT. (Per Blueprint v1.0)</w:t>
            </w:r>
          </w:p>
        </w:tc>
        <w:tc>
          <w:tcPr>
            <w:tcW w:type="dxa" w:w="34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PARALLEL: ClickHouse schema design + approval. ETL pipeline scaffold (Debezium or logical replication setup). ClickHouse dev environment with synthetic data. Analytics DB smoke test.</w:t>
            </w:r>
          </w:p>
        </w:tc>
        <w:tc>
          <w:tcPr>
            <w:tcW w:type="dxa" w:w="16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ClickHouse schema approved by Architecture Board.</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5
(Weeks 13–14)</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Phase 1 live production — monitoring, hotfixes.</w:t>
            </w:r>
          </w:p>
        </w:tc>
        <w:tc>
          <w:tcPr>
            <w:tcW w:type="dxa" w:w="3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PARALLEL: ETL pipeline to production ClickHouse. First real data flowing. Data Warehouse verified. Text-to-SQL prompt engineering begins against real schema.</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Phase 1 Production Stability criteria met (Section 2.1).</w:t>
            </w:r>
          </w:p>
        </w:tc>
      </w:tr>
      <w:tr>
        <w:tc>
          <w:tcPr>
            <w:tcW w:type="dxa" w:w="13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6
(Weeks 15–17)</w:t>
            </w:r>
          </w:p>
        </w:tc>
        <w:tc>
          <w:tcPr>
            <w:tcW w:type="dxa" w:w="3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Phase 1 maintenance mode (&lt; 20% team capacity).</w:t>
            </w:r>
          </w:p>
        </w:tc>
        <w:tc>
          <w:tcPr>
            <w:tcW w:type="dxa" w:w="34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FULL PHASE 2: NLP Text-to-SQL MVP in Super-Admin dashboard. YOLOv11 training data collection. Demand forecasting feature engineering.</w:t>
            </w:r>
          </w:p>
        </w:tc>
        <w:tc>
          <w:tcPr>
            <w:tcW w:type="dxa" w:w="16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30-day shrinkage data baseline reached.</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7+
(Weeks 18+)</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Phase 1 minor enhancements on request.</w:t>
            </w:r>
          </w:p>
        </w:tc>
        <w:tc>
          <w:tcPr>
            <w:tcW w:type="dxa" w:w="3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FULL PHASE 2: YOLOv11 model training + integration. Waste prediction model v1. NLP accuracy gate (80%). ML inference microservice.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YOLOv11 85% accuracy gate. NLP 80% accuracy gate.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6608" w:sz="18"/>
              <w:bottom w:val="none" w:color="FFFFFF" w:sz="0"/>
              <w:right w:val="none" w:color="FFFFFF" w:sz="0"/>
            </w:tcBorders>
            <w:shd w:fill="FEF9E7" w:val="clear"/>
            <w:tcMar>
              <w:top w:type="dxa" w:w="100"/>
              <w:left w:type="dxa" w:w="200"/>
              <w:bottom w:type="dxa" w:w="100"/>
              <w:right w:type="dxa" w:w="140"/>
            </w:tcMar>
          </w:tcPr>
          <w:p>
            <w:pPr>
              <w:spacing w:after="40" w:before="0"/>
            </w:pPr>
            <w:r>
              <w:rPr>
                <w:rFonts w:ascii="Arial" w:cs="Arial" w:eastAsia="Arial" w:hAnsi="Arial"/>
                <w:b/>
                <w:bCs/>
                <w:color w:val="7D6608"/>
                <w:sz w:val="18"/>
                <w:szCs w:val="18"/>
              </w:rPr>
              <w:t xml:space="preserve">[CEO MANDATE]  </w:t>
            </w:r>
            <w:r>
              <w:rPr>
                <w:rFonts w:ascii="Arial" w:cs="Arial" w:eastAsia="Arial" w:hAnsi="Arial"/>
                <w:i w:val="false"/>
                <w:iCs w:val="false"/>
                <w:color w:val="1C1C1C"/>
                <w:sz w:val="19"/>
                <w:szCs w:val="19"/>
              </w:rPr>
              <w:t xml:space="preserve">Resource Allocation Directive: From Sprint 5 onwards, the Verdent.ai team allocation is: 80% Phase 2 development, 20% Phase 1 maintenance and hotfixes. The Architecture Board must approve any reallocation away from this ratio. The CEO will review Phase 2 progress at the end of every Sprint from Sprint 6 onwards.</w:t>
            </w:r>
          </w:p>
        </w:tc>
      </w:tr>
    </w:tbl>
    <w:p>
      <w:r>
        <w:rPr>
          <w:sz w:val="12"/>
          <w:szCs w:val="12"/>
        </w:rPr>
        <w:t xml:space="preserve"/>
      </w:r>
    </w:p>
    <w:p>
      <w:pPr>
        <w:pBdr>
          <w:bottom w:val="single" w:color="B8860B" w:sz="3" w:space="1"/>
        </w:pBdr>
        <w:spacing w:after="120" w:before="120"/>
      </w:pPr>
      <w:r>
        <w:t xml:space="preserv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34"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4 — ADDENDUM SUMMARY &amp; ACKNOWLEDGEMENT REQUIREMENTS</w:t>
            </w:r>
          </w:p>
        </w:tc>
      </w:tr>
    </w:tbl>
    <w:p>
      <w:r>
        <w:rPr>
          <w:sz w:val="12"/>
          <w:szCs w:val="12"/>
        </w:rPr>
        <w:t xml:space="preserve"/>
      </w:r>
    </w:p>
    <w:p>
      <w:pPr>
        <w:pStyle w:val="Heading1"/>
        <w:pBdr>
          <w:bottom w:val="single" w:color="52B788" w:sz="6" w:space="6"/>
        </w:pBdr>
        <w:spacing w:after="140" w:before="320"/>
      </w:pPr>
      <w:r>
        <w:rPr>
          <w:rFonts w:ascii="Arial" w:cs="Arial" w:eastAsia="Arial" w:hAnsi="Arial"/>
          <w:b/>
          <w:bCs/>
          <w:color w:val="1A3C34"/>
          <w:sz w:val="34"/>
          <w:szCs w:val="34"/>
        </w:rPr>
        <w:t xml:space="preserve">4. Addendum Decision Summary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000"/>
        <w:gridCol w:w="1000"/>
      </w:tblGrid>
      <w:tr>
        <w:trPr>
          <w:tblHeader/>
        </w:trPr>
        <w:tc>
          <w:tcPr>
            <w:tcW w:type="dxa" w:w="28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Decision / Mandate</w:t>
            </w:r>
          </w:p>
        </w:tc>
        <w:tc>
          <w:tcPr>
            <w:tcW w:type="dxa" w:w="34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Resolution</w:t>
            </w:r>
          </w:p>
        </w:tc>
        <w:tc>
          <w:tcPr>
            <w:tcW w:type="dxa" w:w="10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Effective</w:t>
            </w:r>
          </w:p>
        </w:tc>
        <w:tc>
          <w:tcPr>
            <w:tcW w:type="dxa" w:w="10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Perishable Returns Policy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Option B Selected: Conditional Restock. 30-minute window + Manager PIN. Auto-waste-route on failure.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2</w:t>
            </w:r>
          </w:p>
        </w:tc>
        <w:tc>
          <w:tcPr>
            <w:tcW w:type="dxa" w:w="100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P0</w:t>
            </w:r>
          </w:p>
        </w:tc>
      </w:tr>
      <w:tr>
        <w:tc>
          <w:tcPr>
            <w:tcW w:type="dxa" w:w="2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 State Machine</w:t>
            </w:r>
          </w:p>
        </w:tc>
        <w:tc>
          <w:tcPr>
            <w:tcW w:type="dxa" w:w="3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Mandatory explicit state machine implementation. 4 mandatory test scenarios before merge.</w:t>
            </w:r>
          </w:p>
        </w:tc>
        <w:tc>
          <w:tcPr>
            <w:tcW w:type="dxa" w:w="1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2</w:t>
            </w:r>
          </w:p>
        </w:tc>
        <w:tc>
          <w:tcPr>
            <w:tcW w:type="dxa" w:w="100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 Data Schema</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returns table with GENERATED elapsed_seconds, immutable route ENUM, manager PIN audit trail.</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2</w:t>
            </w:r>
          </w:p>
        </w:tc>
        <w:tc>
          <w:tcPr>
            <w:tcW w:type="dxa" w:w="100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P0</w:t>
            </w:r>
          </w:p>
        </w:tc>
      </w:tr>
      <w:tr>
        <w:tc>
          <w:tcPr>
            <w:tcW w:type="dxa" w:w="2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No Pause Policy</w:t>
            </w:r>
          </w:p>
        </w:tc>
        <w:tc>
          <w:tcPr>
            <w:tcW w:type="dxa" w:w="3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Phase 2 infrastructure prep begins Sprint 4, parallel to Phase 1 completion.</w:t>
            </w:r>
          </w:p>
        </w:tc>
        <w:tc>
          <w:tcPr>
            <w:tcW w:type="dxa" w:w="1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4</w:t>
            </w:r>
          </w:p>
        </w:tc>
        <w:tc>
          <w:tcPr>
            <w:tcW w:type="dxa" w:w="100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Analytics Data Warehouse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ClickHouse (preferred) or DuckDB. ETL pipeline live before Phase 1 production launch.</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4</w:t>
            </w:r>
          </w:p>
        </w:tc>
        <w:tc>
          <w:tcPr>
            <w:tcW w:type="dxa" w:w="100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P0</w:t>
            </w:r>
          </w:p>
        </w:tc>
      </w:tr>
      <w:tr>
        <w:tc>
          <w:tcPr>
            <w:tcW w:type="dxa" w:w="2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Text-to-SQL NLP (Conversational BI)</w:t>
            </w:r>
          </w:p>
        </w:tc>
        <w:tc>
          <w:tcPr>
            <w:tcW w:type="dxa" w:w="3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SELECT-only on ClickHouse. Tenant isolation enforced. 80% accuracy gate before release.</w:t>
            </w:r>
          </w:p>
        </w:tc>
        <w:tc>
          <w:tcPr>
            <w:tcW w:type="dxa" w:w="1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6–7</w:t>
            </w:r>
          </w:p>
        </w:tc>
        <w:tc>
          <w:tcPr>
            <w:tcW w:type="dxa" w:w="1000"/>
            <w:tcBorders>
              <w:top w:val="single" w:color="CCCCCC" w:sz="1"/>
              <w:left w:val="single" w:color="CCCCCC" w:sz="1"/>
              <w:bottom w:val="single" w:color="CCCCCC" w:sz="1"/>
              <w:right w:val="single" w:color="CCCCCC" w:sz="1"/>
            </w:tcBorders>
            <w:shd w:fill="E67E22"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YOLOv11 Produce Recognition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Advisory only. 85% accuracy gate. On-device or backend inference. Camera via HardwareIOService.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7+</w:t>
            </w:r>
          </w:p>
        </w:tc>
        <w:tc>
          <w:tcPr>
            <w:tcW w:type="dxa" w:w="1000"/>
            <w:tcBorders>
              <w:top w:val="single" w:color="CCCCCC" w:sz="1"/>
              <w:left w:val="single" w:color="CCCCCC" w:sz="1"/>
              <w:bottom w:val="single" w:color="CCCCCC" w:sz="1"/>
              <w:right w:val="single" w:color="CCCCCC" w:sz="1"/>
            </w:tcBorders>
            <w:shd w:fill="E67E22"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P1</w:t>
            </w:r>
          </w:p>
        </w:tc>
      </w:tr>
      <w:tr>
        <w:tc>
          <w:tcPr>
            <w:tcW w:type="dxa" w:w="2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Demand Forecasting ML</w:t>
            </w:r>
          </w:p>
        </w:tc>
        <w:tc>
          <w:tcPr>
            <w:tcW w:type="dxa" w:w="3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Requires 90 days sales data. Separate ML infrastructure. Advisory output only.</w:t>
            </w:r>
          </w:p>
        </w:tc>
        <w:tc>
          <w:tcPr>
            <w:tcW w:type="dxa" w:w="1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7+</w:t>
            </w:r>
          </w:p>
        </w:tc>
        <w:tc>
          <w:tcPr>
            <w:tcW w:type="dxa" w:w="1000"/>
            <w:tcBorders>
              <w:top w:val="single" w:color="CCCCCC" w:sz="1"/>
              <w:left w:val="single" w:color="CCCCCC" w:sz="1"/>
              <w:bottom w:val="single" w:color="CCCCCC" w:sz="1"/>
              <w:right w:val="single" w:color="CCCCCC" w:sz="1"/>
            </w:tcBorders>
            <w:shd w:fill="E67E22"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Waste Prediction ML</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Requires 30-day shrinkage baseline (Phase 1 exit criterion). Lot-level output.</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6–7</w:t>
            </w:r>
          </w:p>
        </w:tc>
        <w:tc>
          <w:tcPr>
            <w:tcW w:type="dxa" w:w="1000"/>
            <w:tcBorders>
              <w:top w:val="single" w:color="CCCCCC" w:sz="1"/>
              <w:left w:val="single" w:color="CCCCCC" w:sz="1"/>
              <w:bottom w:val="single" w:color="CCCCCC" w:sz="1"/>
              <w:right w:val="single" w:color="CCCCCC" w:sz="1"/>
            </w:tcBorders>
            <w:shd w:fill="E67E22"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P1</w:t>
            </w:r>
          </w:p>
        </w:tc>
      </w:tr>
      <w:tr>
        <w:tc>
          <w:tcPr>
            <w:tcW w:type="dxa" w:w="28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Resource Allocation (Sprint 5+)</w:t>
            </w:r>
          </w:p>
        </w:tc>
        <w:tc>
          <w:tcPr>
            <w:tcW w:type="dxa" w:w="34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80% Phase 2 / 20% Phase 1 maintenance. CEO review every sprint.</w:t>
            </w:r>
          </w:p>
        </w:tc>
        <w:tc>
          <w:tcPr>
            <w:tcW w:type="dxa" w:w="1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Sprint 5</w:t>
            </w:r>
          </w:p>
        </w:tc>
        <w:tc>
          <w:tcPr>
            <w:tcW w:type="dxa" w:w="100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vAlign w:val="center"/>
          </w:tcPr>
          <w:p>
            <w:pPr>
              <w:jc w:val="center"/>
            </w:pPr>
            <w:r>
              <w:rPr>
                <w:rFonts w:ascii="Arial" w:cs="Arial" w:eastAsia="Arial" w:hAnsi="Arial"/>
                <w:b/>
                <w:bCs/>
                <w:color w:val="FFFFFF"/>
                <w:sz w:val="18"/>
                <w:szCs w:val="18"/>
              </w:rPr>
              <w:t xml:space="preserve">P0</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4.1 Mandatory Acknowledgement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ADBD8" w:val="clear"/>
            <w:tcMar>
              <w:top w:type="dxa" w:w="100"/>
              <w:left w:type="dxa" w:w="200"/>
              <w:bottom w:type="dxa" w:w="100"/>
              <w:right w:type="dxa" w:w="140"/>
            </w:tcMar>
          </w:tcPr>
          <w:p>
            <w:pPr>
              <w:spacing w:after="40" w:before="0"/>
            </w:pPr>
            <w:r>
              <w:rPr>
                <w:rFonts w:ascii="Arial" w:cs="Arial" w:eastAsia="Arial" w:hAnsi="Arial"/>
                <w:b/>
                <w:bCs/>
                <w:color w:val="C0392B"/>
                <w:sz w:val="18"/>
                <w:szCs w:val="18"/>
              </w:rPr>
              <w:t xml:space="preserve">[CRITICAL DIRECTIVE]  </w:t>
            </w:r>
            <w:r>
              <w:rPr>
                <w:rFonts w:ascii="Arial" w:cs="Arial" w:eastAsia="Arial" w:hAnsi="Arial"/>
                <w:i w:val="false"/>
                <w:iCs w:val="false"/>
                <w:color w:val="1C1C1C"/>
                <w:sz w:val="19"/>
                <w:szCs w:val="19"/>
              </w:rPr>
              <w:t xml:space="preserve">Every member of the Verdent.ai engineering and AI development team must create a sprint ticket acknowledging receipt of this addendum before commencing any work described herein. The ticket title format is: '[ACK] GreenGo Blueprint v1.1 Addendum — [Engineer Name] — [Date]'. Unacknowledged directives are not a defense for non-compliant implementations.</w:t>
            </w:r>
          </w:p>
        </w:tc>
      </w:tr>
    </w:tbl>
    <w:p>
      <w:r>
        <w:rPr>
          <w:sz w:val="12"/>
          <w:szCs w:val="12"/>
        </w:rPr>
        <w:t xml:space="preserve"/>
      </w:r>
    </w:p>
    <w:p>
      <w:pPr>
        <w:pStyle w:val="Heading2"/>
        <w:spacing w:after="110" w:before="260"/>
      </w:pPr>
      <w:r>
        <w:rPr>
          <w:rFonts w:ascii="Arial" w:cs="Arial" w:eastAsia="Arial" w:hAnsi="Arial"/>
          <w:b/>
          <w:bCs/>
          <w:color w:val="2D6A4F"/>
          <w:sz w:val="26"/>
          <w:szCs w:val="26"/>
        </w:rPr>
        <w:t xml:space="preserve">4.2 Document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3200"/>
        <w:gridCol w:w="4060"/>
      </w:tblGrid>
      <w:tr>
        <w:trPr>
          <w:tblHeader/>
        </w:trPr>
        <w:tc>
          <w:tcPr>
            <w:tcW w:type="dxa" w:w="11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Version</w:t>
            </w:r>
          </w:p>
        </w:tc>
        <w:tc>
          <w:tcPr>
            <w:tcW w:type="dxa" w:w="10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Date</w:t>
            </w:r>
          </w:p>
        </w:tc>
        <w:tc>
          <w:tcPr>
            <w:tcW w:type="dxa" w:w="320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Author</w:t>
            </w:r>
          </w:p>
        </w:tc>
        <w:tc>
          <w:tcPr>
            <w:tcW w:type="dxa" w:w="4060"/>
            <w:tcBorders>
              <w:top w:val="single" w:color="CCCCCC" w:sz="1"/>
              <w:left w:val="single" w:color="CCCCCC" w:sz="1"/>
              <w:bottom w:val="single" w:color="CCCCCC" w:sz="1"/>
              <w:right w:val="single" w:color="CCCCCC" w:sz="1"/>
            </w:tcBorders>
            <w:shd w:fill="1A3C34"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Change Summary</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1.0 — FINAL</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2025</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Principal Solutions Architect / CISO / SaaS TPM</w:t>
            </w:r>
          </w:p>
        </w:tc>
        <w:tc>
          <w:tcPr>
            <w:tcW w:type="dxa" w:w="40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Full engineering blueprint. All ADRs, sprint plan, security architecture.</w:t>
            </w:r>
          </w:p>
        </w:tc>
      </w:tr>
      <w:tr>
        <w:tc>
          <w:tcPr>
            <w:tcW w:type="dxa" w:w="11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1.1 — ADDENDUM</w:t>
            </w:r>
          </w:p>
        </w:tc>
        <w:tc>
          <w:tcPr>
            <w:tcW w:type="dxa" w:w="10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2025</w:t>
            </w:r>
          </w:p>
        </w:tc>
        <w:tc>
          <w:tcPr>
            <w:tcW w:type="dxa" w:w="320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GreenGo CEO &amp; Architecture Board</w:t>
            </w:r>
          </w:p>
        </w:tc>
        <w:tc>
          <w:tcPr>
            <w:tcW w:type="dxa" w:w="4060"/>
            <w:tcBorders>
              <w:top w:val="single" w:color="CCCCCC" w:sz="1"/>
              <w:left w:val="single" w:color="CCCCCC" w:sz="1"/>
              <w:bottom w:val="single" w:color="CCCCCC" w:sz="1"/>
              <w:right w:val="single" w:color="CCCCCC" w:sz="1"/>
            </w:tcBorders>
            <w:shd w:fill="F0F7F4" w:val="clear"/>
            <w:tcMar>
              <w:top w:type="dxa" w:w="90"/>
              <w:left w:type="dxa" w:w="150"/>
              <w:bottom w:type="dxa" w:w="90"/>
              <w:right w:type="dxa" w:w="150"/>
            </w:tcMar>
            <w:vAlign w:val="top"/>
          </w:tcPr>
          <w:p>
            <w:pPr>
              <w:jc w:val="left"/>
            </w:pPr>
            <w:r>
              <w:rPr>
                <w:rFonts w:ascii="Arial" w:cs="Arial" w:eastAsia="Arial" w:hAnsi="Arial"/>
                <w:b w:val="false"/>
                <w:bCs w:val="false"/>
                <w:color w:val="1C1C1C"/>
                <w:sz w:val="19"/>
                <w:szCs w:val="19"/>
              </w:rPr>
              <w:t xml:space="preserve">Resolves perishable returns policy (Option B). Mandates No Pause Policy. Defines Phase 2 workstreams, data warehouse, NLP BI, YOLOv11, and predictive ML requirements.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240"/>
              <w:left w:type="dxa" w:w="360"/>
              <w:bottom w:type="dxa" w:w="240"/>
              <w:right w:type="dxa" w:w="360"/>
            </w:tcMar>
          </w:tcPr>
          <w:p>
            <w:pPr>
              <w:spacing w:after="80" w:before="0"/>
              <w:jc w:val="center"/>
            </w:pPr>
            <w:r>
              <w:rPr>
                <w:rFonts w:ascii="Arial" w:cs="Arial" w:eastAsia="Arial" w:hAnsi="Arial"/>
                <w:b/>
                <w:bCs/>
                <w:color w:val="E8D44D"/>
                <w:sz w:val="22"/>
                <w:szCs w:val="22"/>
              </w:rPr>
              <w:t xml:space="preserve">END OF CEO DIRECTIVE &amp; BLUEPRINT ADDENDUM v1.1</w:t>
            </w:r>
          </w:p>
          <w:p>
            <w:pPr>
              <w:spacing w:after="40" w:before="0"/>
              <w:jc w:val="center"/>
            </w:pPr>
            <w:r>
              <w:rPr>
                <w:rFonts w:ascii="Arial" w:cs="Arial" w:eastAsia="Arial" w:hAnsi="Arial"/>
                <w:i/>
                <w:iCs/>
                <w:color w:val="52B788"/>
                <w:sz w:val="19"/>
                <w:szCs w:val="19"/>
              </w:rPr>
              <w:t xml:space="preserve">This addendum is binding upon receipt. Execution begins immediately.</w:t>
            </w:r>
          </w:p>
          <w:p>
            <w:pPr>
              <w:jc w:val="center"/>
            </w:pPr>
            <w:r>
              <w:rPr>
                <w:rFonts w:ascii="Arial" w:cs="Arial" w:eastAsia="Arial" w:hAnsi="Arial"/>
                <w:color w:val="FFFFFF"/>
                <w:sz w:val="18"/>
                <w:szCs w:val="18"/>
              </w:rPr>
              <w:t xml:space="preserve">GreenGo CEO &amp; Architecture Board — Wayloz  |  Delivered to Verdent.ai Engineering Team</w:t>
            </w:r>
          </w:p>
        </w:tc>
      </w:tr>
    </w:tbl>
    <w:p>
      <w:r>
        <w:rPr>
          <w:sz w:val="12"/>
          <w:szCs w:val="12"/>
        </w:rPr>
        <w:t xml:space="preserve"/>
      </w:r>
    </w:p>
    <w:p>
      <w:pPr>
        <w:jc w:val="center"/>
      </w:pPr>
      <w:r>
        <w:rPr>
          <w:rFonts w:ascii="Arial" w:cs="Arial" w:eastAsia="Arial" w:hAnsi="Arial"/>
          <w:i/>
          <w:iCs/>
          <w:color w:val="555555"/>
          <w:sz w:val="16"/>
          <w:szCs w:val="16"/>
        </w:rPr>
        <w:t xml:space="preserve">© 2025 Wayloz / GreenGo. Confidential.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center" w:pos="4680"/>
        <w:tab w:val="right" w:pos="9360"/>
      </w:tabs>
      <w:spacing w:after="0" w:before="80"/>
    </w:pPr>
    <w:r>
      <w:rPr>
        <w:rFonts w:ascii="Arial" w:cs="Arial" w:eastAsia="Arial" w:hAnsi="Arial"/>
        <w:color w:val="555555"/>
        <w:sz w:val="16"/>
        <w:szCs w:val="16"/>
      </w:rPr>
      <w:t xml:space="preserve">© 2025 Wayloz / GreenGo. All Rights Reserved.</w:t>
    </w:r>
    <w:r>
      <w:rPr>
        <w:rFonts w:ascii="Arial" w:cs="Arial" w:eastAsia="Arial" w:hAnsi="Arial"/>
        <w:color w:val="555555"/>
        <w:sz w:val="16"/>
        <w:szCs w:val="16"/>
      </w:rPr>
      <w:t xml:space="preserve">	Document v1.1 — CEO Directive Addendum</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spacing w:after="80" w:before="0"/>
    </w:pPr>
    <w:r>
      <w:rPr>
        <w:rFonts w:ascii="Arial" w:cs="Arial" w:eastAsia="Arial" w:hAnsi="Arial"/>
        <w:b/>
        <w:bCs/>
        <w:color w:val="1A3C34"/>
        <w:sz w:val="18"/>
        <w:szCs w:val="18"/>
      </w:rPr>
      <w:t xml:space="preserve">GreenGo POS — </w:t>
    </w:r>
    <w:r>
      <w:rPr>
        <w:rFonts w:ascii="Arial" w:cs="Arial" w:eastAsia="Arial" w:hAnsi="Arial"/>
        <w:b/>
        <w:bCs/>
        <w:color w:val="7D6608"/>
        <w:sz w:val="18"/>
        <w:szCs w:val="18"/>
      </w:rPr>
      <w:t xml:space="preserve">CEO Directive &amp; Blueprint Addendum v1.1</w:t>
    </w:r>
    <w:r>
      <w:rPr>
        <w:rFonts w:ascii="Arial" w:cs="Arial" w:eastAsia="Arial" w:hAnsi="Arial"/>
        <w:i/>
        <w:iCs/>
        <w:color w:val="C0392B"/>
        <w:sz w:val="16"/>
        <w:szCs w:val="16"/>
      </w:rPr>
      <w:t xml:space="preserve">    |    CONFIDENTIAL — Verdent.ai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3C34"/>
      <w:sz w:val="34"/>
      <w:szCs w:val="34"/>
    </w:rPr>
  </w:style>
  <w:style w:type="paragraph" w:styleId="Heading2">
    <w:name w:val="Heading 2"/>
    <w:basedOn w:val="Normal"/>
    <w:next w:val="Normal"/>
    <w:qFormat/>
    <w:pPr>
      <w:spacing w:after="110" w:before="26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2026-05-05T17:57:46.919Z</dcterms:created>
  <dcterms:modified xsi:type="dcterms:W3CDTF">2026-05-05T17:57:46.941Z</dcterms:modified>
</cp:coreProperties>
</file>

<file path=docProps/custom.xml><?xml version="1.0" encoding="utf-8"?>
<Properties xmlns="http://schemas.openxmlformats.org/officeDocument/2006/custom-properties" xmlns:vt="http://schemas.openxmlformats.org/officeDocument/2006/docPropsVTypes"/>
</file>