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line="300" w:lineRule="auto"/>
        <w:jc w:val="center"/>
        <w:keepNext w:val="0"/>
        <w:bidi w:val="1"/>
      </w:pPr>
      <w:r>
        <w:rPr>
          <w:rFonts w:ascii="Tahoma" w:hAnsi="Tahoma" w:cs="Tahoma" w:eastAsia="Tahoma"/>
          <w:b/>
          <w:i w:val="0"/>
          <w:color w:val="2E74B5"/>
          <w:sz w:val="22"/>
          <w:rtl w:val="1"/>
        </w:rPr>
        <w:t>شرح ساده و تحلیلی</w:t>
      </w:r>
    </w:p>
    <w:p>
      <w:pPr>
        <w:pStyle w:val="Title"/>
        <w:jc w:val="center"/>
        <w:bidi w:val="1"/>
      </w:pPr>
      <w:r>
        <w:rPr>
          <w:rFonts w:ascii="Tahoma" w:hAnsi="Tahoma" w:cs="Tahoma" w:eastAsia="Tahoma"/>
          <w:b/>
          <w:i w:val="0"/>
          <w:color w:val="172B3A"/>
          <w:sz w:val="54"/>
          <w:rtl w:val="1"/>
        </w:rPr>
        <w:t>جدول ۴.۵ چه چیزی به ما می‌گوید؟</w:t>
      </w:r>
    </w:p>
    <w:p>
      <w:pPr>
        <w:pStyle w:val="Subtitle"/>
        <w:jc w:val="center"/>
        <w:bidi w:val="1"/>
      </w:pPr>
      <w:r>
        <w:rPr>
          <w:rFonts w:ascii="Tahoma" w:hAnsi="Tahoma" w:cs="Tahoma" w:eastAsia="Tahoma"/>
          <w:b w:val="0"/>
          <w:i w:val="0"/>
          <w:color w:val="5B6770"/>
          <w:sz w:val="28"/>
          <w:rtl w:val="1"/>
        </w:rPr>
        <w:t>ناکارآمدی فاین‌تیون چندمجموعه‌ای برای تعمیم صفرنمونه</w:t>
      </w:r>
    </w:p>
    <w:p>
      <w:pPr>
        <w:spacing w:before="100" w:after="160" w:line="300" w:lineRule="auto"/>
        <w:ind w:left="173" w:right="173"/>
        <w:jc w:val="both"/>
        <w:bidi w:val="1"/>
        <w:shd w:val="clear" w:fill="E8F1F8"/>
        <w:pBdr>
          <w:right w:val="single" w:sz="18" w:space="8" w:color="2E74B5"/>
        </w:pBdr>
      </w:pPr>
      <w:r>
        <w:rPr>
          <w:rFonts w:ascii="Tahoma" w:hAnsi="Tahoma" w:cs="Tahoma" w:eastAsia="Tahoma"/>
          <w:b/>
          <w:i w:val="0"/>
          <w:color w:val="2E74B5"/>
          <w:sz w:val="22"/>
          <w:rtl w:val="1"/>
        </w:rPr>
        <w:t xml:space="preserve">اگر فقط یک جمله یادتان بماند:  </w:t>
      </w:r>
      <w:r>
        <w:rPr>
          <w:rFonts w:ascii="Tahoma" w:hAnsi="Tahoma" w:cs="Tahoma" w:eastAsia="Tahoma"/>
          <w:b w:val="0"/>
          <w:i w:val="0"/>
          <w:color w:val="172B3A"/>
          <w:sz w:val="22"/>
          <w:rtl w:val="1"/>
        </w:rPr>
        <w:t>فاین‌تیون روی چند مجموعه‌دادهٔ محدود، قابلیت تعمیم مدل پایهٔ منتشرشدهٔ Depth Anything V2 را خراب کرده است؛ چون افت شدید در مدل پیشنهادی (دارای K) و مدل کنترل (فاقد K) تقریباً یکسان است، خودِ پارامترهای دوربین علت این شکست نیستند.</w:t>
      </w:r>
    </w:p>
    <w:p>
      <w:pPr>
        <w:spacing w:before="0" w:after="160" w:line="300" w:lineRule="auto"/>
        <w:jc w:val="both"/>
        <w:keepNext w:val="0"/>
        <w:bidi w:val="1"/>
      </w:pPr>
      <w:r>
        <w:rPr>
          <w:rFonts w:ascii="Tahoma" w:hAnsi="Tahoma" w:cs="Tahoma" w:eastAsia="Tahoma"/>
          <w:b w:val="0"/>
          <w:i w:val="0"/>
          <w:color w:val="172B3A"/>
          <w:sz w:val="22"/>
          <w:rtl w:val="1"/>
        </w:rPr>
        <w:t>این جدول یک نتیجهٔ منفی اما بسیار مهم را ثبت می‌کند. هدف آن اثبات برتری مدل پیشنهادی (دارای K) نیست؛ هدف این است که نشان دهد پروتکل «فاین‌تیون محدود و سپس ارزیابی صفرنمونه روی دامنه‌ای دیگر» برای پاسخ‌دادن به سؤال اصلی پژوهش مناسب نیست.</w:t>
      </w:r>
    </w:p>
    <w:p>
      <w:pPr>
        <w:spacing w:before="80" w:after="100" w:line="276" w:lineRule="auto"/>
        <w:jc w:val="center"/>
        <w:keepNext/>
        <w:bidi w:val="1"/>
      </w:pPr>
      <w:r>
        <w:rPr>
          <w:rFonts w:ascii="Tahoma" w:hAnsi="Tahoma" w:cs="Tahoma" w:eastAsia="Tahoma"/>
          <w:b w:val="0"/>
          <w:i w:val="0"/>
          <w:color w:val="5B6770"/>
          <w:sz w:val="20"/>
          <w:rtl w:val="1"/>
        </w:rPr>
      </w:r>
      <w:r>
        <w:rPr>
          <w:rFonts w:ascii="Tahoma" w:hAnsi="Tahoma" w:cs="Tahoma" w:eastAsia="Tahoma"/>
          <w:b w:val="0"/>
          <w:color w:val="5B6770"/>
          <w:sz w:val="20"/>
          <w:rtl w:val="1"/>
        </w:rPr>
      </w:r>
      <w:r>
        <w:rPr>
          <w:rFonts w:ascii="Tahoma" w:hAnsi="Tahoma" w:cs="Tahoma" w:eastAsia="Tahoma"/>
          <w:b w:val="0"/>
          <w:color w:val="5B6770"/>
          <w:sz w:val="20"/>
          <w:rtl w:val="1"/>
        </w:rPr>
      </w:r>
      <w:r>
        <w:rPr>
          <w:rFonts w:ascii="Tahoma" w:hAnsi="Tahoma" w:cs="Tahoma" w:eastAsia="Tahoma"/>
          <w:b w:val="0"/>
          <w:color w:val="5B6770"/>
          <w:sz w:val="20"/>
          <w:rtl w:val="1"/>
        </w:rPr>
      </w:r>
      <w:r>
        <w:rPr>
          <w:rFonts w:ascii="Tahoma" w:hAnsi="Tahoma" w:cs="Tahoma" w:eastAsia="Tahoma"/>
          <w:b w:val="0"/>
          <w:color w:val="5B6770"/>
          <w:sz w:val="20"/>
          <w:rtl w:val="1"/>
        </w:rPr>
        <w:t>بازنویسی جدول ۴.۵ — هویت کامل هر مدل و هر معیار در ستون مستقل آمده است.</w:t>
      </w:r>
    </w:p>
    <w:tbl>
      <w:tblPr>
        <w:tblStyle w:val="TableGrid"/>
        <w:tblW w:type="dxa" w:w="9360"/>
        <w:jc w:val="center"/>
        <w:tblLayout w:type="fixed"/>
        <w:tblLook w:firstColumn="1" w:firstRow="1" w:lastColumn="0" w:lastRow="0" w:noHBand="0" w:noVBand="1" w:val="04A0"/>
        <w:tblInd w:w="120" w:type="dxa"/>
        <w:bidiVisual w:val="1"/>
      </w:tblPr>
      <w:tblGrid>
        <w:gridCol w:w="1000"/>
        <w:gridCol w:w="2380"/>
        <w:gridCol w:w="900"/>
        <w:gridCol w:w="900"/>
        <w:gridCol w:w="2380"/>
        <w:gridCol w:w="900"/>
        <w:gridCol w:w="900"/>
      </w:tblGrid>
      <w:tr>
        <w:tc>
          <w:tcPr>
            <w:tcW w:type="dxa" w:w="1000"/>
            <w:tcMar>
              <w:top w:w="80" w:type="dxa"/>
              <w:start w:w="90" w:type="dxa"/>
              <w:bottom w:w="80" w:type="dxa"/>
              <w:end w:w="90" w:type="dxa"/>
            </w:tcMar>
            <w:vAlign w:val="center"/>
            <w:shd w:val="clear" w:fill="2E74B5"/>
          </w:tcPr>
          <w:p>
            <w:pPr>
              <w:spacing w:before="0" w:after="0" w:line="259" w:lineRule="auto"/>
              <w:jc w:val="center"/>
              <w:bidi w:val="1"/>
            </w:pPr>
            <w:r>
              <w:rPr>
                <w:rFonts w:ascii="Tahoma" w:hAnsi="Tahoma" w:cs="Tahoma" w:eastAsia="Tahoma"/>
                <w:b/>
                <w:color w:val="FFFFFF"/>
                <w:sz w:val="16"/>
                <w:rtl w:val="1"/>
              </w:rPr>
              <w:t>محک</w:t>
            </w:r>
          </w:p>
        </w:tc>
        <w:tc>
          <w:tcPr>
            <w:tcW w:type="dxa" w:w="2380"/>
            <w:tcMar>
              <w:top w:w="80" w:type="dxa"/>
              <w:start w:w="90" w:type="dxa"/>
              <w:bottom w:w="80" w:type="dxa"/>
              <w:end w:w="90" w:type="dxa"/>
            </w:tcMar>
            <w:vAlign w:val="center"/>
            <w:shd w:val="clear" w:fill="2E74B5"/>
          </w:tcPr>
          <w:p>
            <w:pPr>
              <w:spacing w:before="0" w:after="0" w:line="259" w:lineRule="auto"/>
              <w:jc w:val="center"/>
              <w:bidi w:val="1"/>
            </w:pPr>
            <w:r>
              <w:rPr>
                <w:rFonts w:ascii="Tahoma" w:hAnsi="Tahoma" w:cs="Tahoma" w:eastAsia="Tahoma"/>
                <w:b/>
                <w:color w:val="FFFFFF"/>
                <w:sz w:val="15"/>
                <w:rtl w:val="1"/>
              </w:rPr>
              <w:t>مدل دقیقِ ارزیابی‌شده در این پژوهش</w:t>
            </w:r>
          </w:p>
        </w:tc>
        <w:tc>
          <w:tcPr>
            <w:tcW w:type="dxa" w:w="900"/>
            <w:tcMar>
              <w:top w:w="80" w:type="dxa"/>
              <w:start w:w="90" w:type="dxa"/>
              <w:bottom w:w="80" w:type="dxa"/>
              <w:end w:w="90" w:type="dxa"/>
            </w:tcMar>
            <w:vAlign w:val="center"/>
            <w:shd w:val="clear" w:fill="2E74B5"/>
          </w:tcPr>
          <w:p>
            <w:pPr>
              <w:spacing w:before="0" w:after="0" w:line="259" w:lineRule="auto"/>
              <w:jc w:val="center"/>
              <w:bidi w:val="1"/>
            </w:pPr>
            <w:r>
              <w:rPr>
                <w:rFonts w:ascii="Tahoma" w:hAnsi="Tahoma" w:cs="Tahoma" w:eastAsia="Tahoma"/>
                <w:b/>
                <w:color w:val="FFFFFF"/>
                <w:sz w:val="16"/>
              </w:rPr>
              <w:t>AbsRel↓</w:t>
            </w:r>
          </w:p>
        </w:tc>
        <w:tc>
          <w:tcPr>
            <w:tcW w:type="dxa" w:w="900"/>
            <w:tcMar>
              <w:top w:w="80" w:type="dxa"/>
              <w:start w:w="90" w:type="dxa"/>
              <w:bottom w:w="80" w:type="dxa"/>
              <w:end w:w="90" w:type="dxa"/>
            </w:tcMar>
            <w:vAlign w:val="center"/>
            <w:shd w:val="clear" w:fill="2E74B5"/>
          </w:tcPr>
          <w:p>
            <w:pPr>
              <w:spacing w:before="0" w:after="0" w:line="259" w:lineRule="auto"/>
              <w:jc w:val="center"/>
              <w:bidi w:val="1"/>
            </w:pPr>
            <w:r>
              <w:rPr>
                <w:rFonts w:ascii="Tahoma" w:hAnsi="Tahoma" w:cs="Tahoma" w:eastAsia="Tahoma"/>
                <w:b/>
                <w:color w:val="FFFFFF"/>
                <w:sz w:val="16"/>
              </w:rPr>
              <w:t>δ₁↑</w:t>
            </w:r>
          </w:p>
        </w:tc>
        <w:tc>
          <w:tcPr>
            <w:tcW w:type="dxa" w:w="2380"/>
            <w:tcMar>
              <w:top w:w="80" w:type="dxa"/>
              <w:start w:w="90" w:type="dxa"/>
              <w:bottom w:w="80" w:type="dxa"/>
              <w:end w:w="90" w:type="dxa"/>
            </w:tcMar>
            <w:vAlign w:val="center"/>
            <w:shd w:val="clear" w:fill="2E74B5"/>
          </w:tcPr>
          <w:p>
            <w:pPr>
              <w:spacing w:before="0" w:after="0" w:line="259" w:lineRule="auto"/>
              <w:jc w:val="center"/>
              <w:bidi w:val="1"/>
            </w:pPr>
            <w:r>
              <w:rPr>
                <w:rFonts w:ascii="Tahoma" w:hAnsi="Tahoma" w:cs="Tahoma" w:eastAsia="Tahoma"/>
                <w:b/>
                <w:color w:val="FFFFFF"/>
                <w:sz w:val="15"/>
                <w:rtl w:val="1"/>
              </w:rPr>
              <w:t>مدل مرجع منتشرشده</w:t>
            </w:r>
          </w:p>
        </w:tc>
        <w:tc>
          <w:tcPr>
            <w:tcW w:type="dxa" w:w="900"/>
            <w:tcMar>
              <w:top w:w="80" w:type="dxa"/>
              <w:start w:w="90" w:type="dxa"/>
              <w:bottom w:w="80" w:type="dxa"/>
              <w:end w:w="90" w:type="dxa"/>
            </w:tcMar>
            <w:vAlign w:val="center"/>
            <w:shd w:val="clear" w:fill="2E74B5"/>
          </w:tcPr>
          <w:p>
            <w:pPr>
              <w:spacing w:before="0" w:after="0" w:line="259" w:lineRule="auto"/>
              <w:jc w:val="center"/>
              <w:bidi w:val="1"/>
            </w:pPr>
            <w:r>
              <w:rPr>
                <w:rFonts w:ascii="Tahoma" w:hAnsi="Tahoma" w:cs="Tahoma" w:eastAsia="Tahoma"/>
                <w:b/>
                <w:color w:val="FFFFFF"/>
                <w:sz w:val="16"/>
              </w:rPr>
              <w:t>AbsRel↓</w:t>
            </w:r>
          </w:p>
        </w:tc>
        <w:tc>
          <w:tcPr>
            <w:tcW w:type="dxa" w:w="900"/>
            <w:tcMar>
              <w:top w:w="80" w:type="dxa"/>
              <w:start w:w="90" w:type="dxa"/>
              <w:bottom w:w="80" w:type="dxa"/>
              <w:end w:w="90" w:type="dxa"/>
            </w:tcMar>
            <w:vAlign w:val="center"/>
            <w:shd w:val="clear" w:fill="2E74B5"/>
          </w:tcPr>
          <w:p>
            <w:pPr>
              <w:spacing w:before="0" w:after="0" w:line="259" w:lineRule="auto"/>
              <w:jc w:val="center"/>
              <w:bidi w:val="1"/>
            </w:pPr>
            <w:r>
              <w:rPr>
                <w:rFonts w:ascii="Tahoma" w:hAnsi="Tahoma" w:cs="Tahoma" w:eastAsia="Tahoma"/>
                <w:b/>
                <w:color w:val="FFFFFF"/>
                <w:sz w:val="16"/>
              </w:rPr>
              <w:t>δ₁↑</w:t>
            </w:r>
          </w:p>
        </w:tc>
      </w:tr>
      <w:tr>
        <w:tc>
          <w:tcPr>
            <w:tcW w:type="dxa" w:w="1000"/>
            <w:tcMar>
              <w:top w:w="80" w:type="dxa"/>
              <w:start w:w="90" w:type="dxa"/>
              <w:bottom w:w="80" w:type="dxa"/>
              <w:end w:w="90" w:type="dxa"/>
            </w:tcMar>
            <w:vAlign w:val="center"/>
            <w:shd w:val="clear" w:fill="FFFFFF"/>
          </w:tcPr>
          <w:p>
            <w:pPr>
              <w:spacing w:before="0" w:after="0" w:line="259" w:lineRule="auto"/>
              <w:jc w:val="right"/>
              <w:bidi w:val="1"/>
            </w:pPr>
            <w:r>
              <w:rPr>
                <w:rFonts w:ascii="Tahoma" w:hAnsi="Tahoma" w:cs="Tahoma" w:eastAsia="Tahoma"/>
                <w:b w:val="0"/>
                <w:color w:val="172B3A"/>
                <w:sz w:val="16"/>
                <w:rtl w:val="1"/>
              </w:rPr>
              <w:t>KITTI</w:t>
            </w:r>
          </w:p>
        </w:tc>
        <w:tc>
          <w:tcPr>
            <w:tcW w:type="dxa" w:w="2380"/>
            <w:tcMar>
              <w:top w:w="80" w:type="dxa"/>
              <w:start w:w="90" w:type="dxa"/>
              <w:bottom w:w="80" w:type="dxa"/>
              <w:end w:w="90" w:type="dxa"/>
            </w:tcMar>
            <w:vAlign w:val="center"/>
            <w:shd w:val="clear" w:fill="FFFFFF"/>
          </w:tcPr>
          <w:p>
            <w:pPr>
              <w:spacing w:before="0" w:after="0" w:line="259" w:lineRule="auto"/>
              <w:jc w:val="right"/>
              <w:bidi w:val="1"/>
            </w:pPr>
            <w:r>
              <w:rPr>
                <w:rFonts w:ascii="Tahoma" w:hAnsi="Tahoma" w:cs="Tahoma" w:eastAsia="Tahoma"/>
                <w:b w:val="0"/>
                <w:color w:val="172B3A"/>
                <w:sz w:val="15"/>
                <w:rtl w:val="1"/>
              </w:rPr>
              <w:t>مدل پیشنهادی (دارای K) — نسخهٔ ViT-S، فاین‌تیون چندمجموعه‌ای</w:t>
            </w:r>
          </w:p>
        </w:tc>
        <w:tc>
          <w:tcPr>
            <w:tcW w:type="dxa" w:w="900"/>
            <w:tcMar>
              <w:top w:w="80" w:type="dxa"/>
              <w:start w:w="90" w:type="dxa"/>
              <w:bottom w:w="80" w:type="dxa"/>
              <w:end w:w="90" w:type="dxa"/>
            </w:tcMar>
            <w:vAlign w:val="center"/>
            <w:shd w:val="clear" w:fill="FFFFFF"/>
          </w:tcPr>
          <w:p>
            <w:pPr>
              <w:spacing w:before="0" w:after="0" w:line="259" w:lineRule="auto"/>
              <w:jc w:val="center"/>
              <w:bidi w:val="1"/>
            </w:pPr>
            <w:r>
              <w:rPr>
                <w:rFonts w:ascii="Tahoma" w:hAnsi="Tahoma" w:cs="Tahoma" w:eastAsia="Tahoma"/>
                <w:b w:val="0"/>
                <w:color w:val="172B3A"/>
                <w:sz w:val="16"/>
              </w:rPr>
              <w:t>0.2139</w:t>
            </w:r>
          </w:p>
        </w:tc>
        <w:tc>
          <w:tcPr>
            <w:tcW w:type="dxa" w:w="900"/>
            <w:tcMar>
              <w:top w:w="80" w:type="dxa"/>
              <w:start w:w="90" w:type="dxa"/>
              <w:bottom w:w="80" w:type="dxa"/>
              <w:end w:w="90" w:type="dxa"/>
            </w:tcMar>
            <w:vAlign w:val="center"/>
            <w:shd w:val="clear" w:fill="FFFFFF"/>
          </w:tcPr>
          <w:p>
            <w:pPr>
              <w:spacing w:before="0" w:after="0" w:line="259" w:lineRule="auto"/>
              <w:jc w:val="center"/>
              <w:bidi w:val="1"/>
            </w:pPr>
            <w:r>
              <w:rPr>
                <w:rFonts w:ascii="Tahoma" w:hAnsi="Tahoma" w:cs="Tahoma" w:eastAsia="Tahoma"/>
                <w:b w:val="0"/>
                <w:color w:val="172B3A"/>
                <w:sz w:val="16"/>
              </w:rPr>
              <w:t>0.6189</w:t>
            </w:r>
          </w:p>
        </w:tc>
        <w:tc>
          <w:tcPr>
            <w:tcW w:type="dxa" w:w="2380"/>
            <w:tcMar>
              <w:top w:w="80" w:type="dxa"/>
              <w:start w:w="90" w:type="dxa"/>
              <w:bottom w:w="80" w:type="dxa"/>
              <w:end w:w="90" w:type="dxa"/>
            </w:tcMar>
            <w:vAlign w:val="center"/>
            <w:shd w:val="clear" w:fill="FFFFFF"/>
          </w:tcPr>
          <w:p>
            <w:pPr>
              <w:spacing w:before="0" w:after="0" w:line="259" w:lineRule="auto"/>
              <w:jc w:val="right"/>
              <w:bidi w:val="1"/>
            </w:pPr>
            <w:r>
              <w:rPr>
                <w:rFonts w:ascii="Tahoma" w:hAnsi="Tahoma" w:cs="Tahoma" w:eastAsia="Tahoma"/>
                <w:b w:val="0"/>
                <w:color w:val="172B3A"/>
                <w:sz w:val="15"/>
                <w:rtl w:val="1"/>
              </w:rPr>
              <w:t>مدل پایهٔ منتشرشدهٔ Depth Anything V2 — نسخهٔ نسبی ViT-S</w:t>
            </w:r>
          </w:p>
        </w:tc>
        <w:tc>
          <w:tcPr>
            <w:tcW w:type="dxa" w:w="900"/>
            <w:tcMar>
              <w:top w:w="80" w:type="dxa"/>
              <w:start w:w="90" w:type="dxa"/>
              <w:bottom w:w="80" w:type="dxa"/>
              <w:end w:w="90" w:type="dxa"/>
            </w:tcMar>
            <w:vAlign w:val="center"/>
            <w:shd w:val="clear" w:fill="FFFFFF"/>
          </w:tcPr>
          <w:p>
            <w:pPr>
              <w:spacing w:before="0" w:after="0" w:line="259" w:lineRule="auto"/>
              <w:jc w:val="center"/>
              <w:bidi w:val="1"/>
            </w:pPr>
            <w:r>
              <w:rPr>
                <w:rFonts w:ascii="Tahoma" w:hAnsi="Tahoma" w:cs="Tahoma" w:eastAsia="Tahoma"/>
                <w:b w:val="0"/>
                <w:color w:val="172B3A"/>
                <w:sz w:val="16"/>
              </w:rPr>
              <w:t>0.0829</w:t>
            </w:r>
          </w:p>
        </w:tc>
        <w:tc>
          <w:tcPr>
            <w:tcW w:type="dxa" w:w="900"/>
            <w:tcMar>
              <w:top w:w="80" w:type="dxa"/>
              <w:start w:w="90" w:type="dxa"/>
              <w:bottom w:w="80" w:type="dxa"/>
              <w:end w:w="90" w:type="dxa"/>
            </w:tcMar>
            <w:vAlign w:val="center"/>
            <w:shd w:val="clear" w:fill="FFFFFF"/>
          </w:tcPr>
          <w:p>
            <w:pPr>
              <w:spacing w:before="0" w:after="0" w:line="259" w:lineRule="auto"/>
              <w:jc w:val="center"/>
              <w:bidi w:val="1"/>
            </w:pPr>
            <w:r>
              <w:rPr>
                <w:rFonts w:ascii="Tahoma" w:hAnsi="Tahoma" w:cs="Tahoma" w:eastAsia="Tahoma"/>
                <w:b w:val="0"/>
                <w:color w:val="172B3A"/>
                <w:sz w:val="16"/>
              </w:rPr>
              <w:t>0.9341</w:t>
            </w:r>
          </w:p>
        </w:tc>
      </w:tr>
      <w:tr>
        <w:tc>
          <w:tcPr>
            <w:tcW w:type="dxa" w:w="1000"/>
            <w:tcMar>
              <w:top w:w="80" w:type="dxa"/>
              <w:start w:w="90" w:type="dxa"/>
              <w:bottom w:w="80" w:type="dxa"/>
              <w:end w:w="90" w:type="dxa"/>
            </w:tcMar>
            <w:vAlign w:val="center"/>
            <w:shd w:val="clear" w:fill="F2F4F7"/>
          </w:tcPr>
          <w:p>
            <w:pPr>
              <w:spacing w:before="0" w:after="0" w:line="259" w:lineRule="auto"/>
              <w:jc w:val="right"/>
              <w:bidi w:val="1"/>
            </w:pPr>
            <w:r>
              <w:rPr>
                <w:rFonts w:ascii="Tahoma" w:hAnsi="Tahoma" w:cs="Tahoma" w:eastAsia="Tahoma"/>
                <w:b w:val="0"/>
                <w:color w:val="172B3A"/>
                <w:sz w:val="16"/>
                <w:rtl w:val="1"/>
              </w:rPr>
              <w:t>KITTI</w:t>
            </w:r>
          </w:p>
        </w:tc>
        <w:tc>
          <w:tcPr>
            <w:tcW w:type="dxa" w:w="2380"/>
            <w:tcMar>
              <w:top w:w="80" w:type="dxa"/>
              <w:start w:w="90" w:type="dxa"/>
              <w:bottom w:w="80" w:type="dxa"/>
              <w:end w:w="90" w:type="dxa"/>
            </w:tcMar>
            <w:vAlign w:val="center"/>
            <w:shd w:val="clear" w:fill="F2F4F7"/>
          </w:tcPr>
          <w:p>
            <w:pPr>
              <w:spacing w:before="0" w:after="0" w:line="259" w:lineRule="auto"/>
              <w:jc w:val="right"/>
              <w:bidi w:val="1"/>
            </w:pPr>
            <w:r>
              <w:rPr>
                <w:rFonts w:ascii="Tahoma" w:hAnsi="Tahoma" w:cs="Tahoma" w:eastAsia="Tahoma"/>
                <w:b w:val="0"/>
                <w:color w:val="172B3A"/>
                <w:sz w:val="15"/>
                <w:rtl w:val="1"/>
              </w:rPr>
              <w:t>مدل کنترل (فاقد K) — نسخهٔ ViT-S، فاین‌تیون چندمجموعه‌ای</w:t>
            </w:r>
          </w:p>
        </w:tc>
        <w:tc>
          <w:tcPr>
            <w:tcW w:type="dxa" w:w="900"/>
            <w:tcMar>
              <w:top w:w="80" w:type="dxa"/>
              <w:start w:w="90" w:type="dxa"/>
              <w:bottom w:w="80" w:type="dxa"/>
              <w:end w:w="90" w:type="dxa"/>
            </w:tcMar>
            <w:vAlign w:val="center"/>
            <w:shd w:val="clear" w:fill="F2F4F7"/>
          </w:tcPr>
          <w:p>
            <w:pPr>
              <w:spacing w:before="0" w:after="0" w:line="259" w:lineRule="auto"/>
              <w:jc w:val="center"/>
              <w:bidi w:val="1"/>
            </w:pPr>
            <w:r>
              <w:rPr>
                <w:rFonts w:ascii="Tahoma" w:hAnsi="Tahoma" w:cs="Tahoma" w:eastAsia="Tahoma"/>
                <w:b w:val="0"/>
                <w:color w:val="172B3A"/>
                <w:sz w:val="16"/>
              </w:rPr>
              <w:t>0.2132</w:t>
            </w:r>
          </w:p>
        </w:tc>
        <w:tc>
          <w:tcPr>
            <w:tcW w:type="dxa" w:w="900"/>
            <w:tcMar>
              <w:top w:w="80" w:type="dxa"/>
              <w:start w:w="90" w:type="dxa"/>
              <w:bottom w:w="80" w:type="dxa"/>
              <w:end w:w="90" w:type="dxa"/>
            </w:tcMar>
            <w:vAlign w:val="center"/>
            <w:shd w:val="clear" w:fill="F2F4F7"/>
          </w:tcPr>
          <w:p>
            <w:pPr>
              <w:spacing w:before="0" w:after="0" w:line="259" w:lineRule="auto"/>
              <w:jc w:val="center"/>
              <w:bidi w:val="1"/>
            </w:pPr>
            <w:r>
              <w:rPr>
                <w:rFonts w:ascii="Tahoma" w:hAnsi="Tahoma" w:cs="Tahoma" w:eastAsia="Tahoma"/>
                <w:b w:val="0"/>
                <w:color w:val="172B3A"/>
                <w:sz w:val="16"/>
              </w:rPr>
              <w:t>0.6179</w:t>
            </w:r>
          </w:p>
        </w:tc>
        <w:tc>
          <w:tcPr>
            <w:tcW w:type="dxa" w:w="2380"/>
            <w:tcMar>
              <w:top w:w="80" w:type="dxa"/>
              <w:start w:w="90" w:type="dxa"/>
              <w:bottom w:w="80" w:type="dxa"/>
              <w:end w:w="90" w:type="dxa"/>
            </w:tcMar>
            <w:vAlign w:val="center"/>
            <w:shd w:val="clear" w:fill="F2F4F7"/>
          </w:tcPr>
          <w:p>
            <w:pPr>
              <w:spacing w:before="0" w:after="0" w:line="259" w:lineRule="auto"/>
              <w:jc w:val="right"/>
              <w:bidi w:val="1"/>
            </w:pPr>
            <w:r>
              <w:rPr>
                <w:rFonts w:ascii="Tahoma" w:hAnsi="Tahoma" w:cs="Tahoma" w:eastAsia="Tahoma"/>
                <w:b w:val="0"/>
                <w:color w:val="172B3A"/>
                <w:sz w:val="15"/>
                <w:rtl w:val="1"/>
              </w:rPr>
              <w:t>مدل پایهٔ منتشرشدهٔ Depth Anything V2 — نسخهٔ نسبی ViT-S</w:t>
            </w:r>
          </w:p>
        </w:tc>
        <w:tc>
          <w:tcPr>
            <w:tcW w:type="dxa" w:w="900"/>
            <w:tcMar>
              <w:top w:w="80" w:type="dxa"/>
              <w:start w:w="90" w:type="dxa"/>
              <w:bottom w:w="80" w:type="dxa"/>
              <w:end w:w="90" w:type="dxa"/>
            </w:tcMar>
            <w:vAlign w:val="center"/>
            <w:shd w:val="clear" w:fill="F2F4F7"/>
          </w:tcPr>
          <w:p>
            <w:pPr>
              <w:spacing w:before="0" w:after="0" w:line="259" w:lineRule="auto"/>
              <w:jc w:val="center"/>
              <w:bidi w:val="1"/>
            </w:pPr>
            <w:r>
              <w:rPr>
                <w:rFonts w:ascii="Tahoma" w:hAnsi="Tahoma" w:cs="Tahoma" w:eastAsia="Tahoma"/>
                <w:b w:val="0"/>
                <w:color w:val="172B3A"/>
                <w:sz w:val="16"/>
              </w:rPr>
              <w:t>0.0829</w:t>
            </w:r>
          </w:p>
        </w:tc>
        <w:tc>
          <w:tcPr>
            <w:tcW w:type="dxa" w:w="900"/>
            <w:tcMar>
              <w:top w:w="80" w:type="dxa"/>
              <w:start w:w="90" w:type="dxa"/>
              <w:bottom w:w="80" w:type="dxa"/>
              <w:end w:w="90" w:type="dxa"/>
            </w:tcMar>
            <w:vAlign w:val="center"/>
            <w:shd w:val="clear" w:fill="F2F4F7"/>
          </w:tcPr>
          <w:p>
            <w:pPr>
              <w:spacing w:before="0" w:after="0" w:line="259" w:lineRule="auto"/>
              <w:jc w:val="center"/>
              <w:bidi w:val="1"/>
            </w:pPr>
            <w:r>
              <w:rPr>
                <w:rFonts w:ascii="Tahoma" w:hAnsi="Tahoma" w:cs="Tahoma" w:eastAsia="Tahoma"/>
                <w:b w:val="0"/>
                <w:color w:val="172B3A"/>
                <w:sz w:val="16"/>
              </w:rPr>
              <w:t>0.9341</w:t>
            </w:r>
          </w:p>
        </w:tc>
      </w:tr>
      <w:tr>
        <w:tc>
          <w:tcPr>
            <w:tcW w:type="dxa" w:w="1000"/>
            <w:tcMar>
              <w:top w:w="80" w:type="dxa"/>
              <w:start w:w="90" w:type="dxa"/>
              <w:bottom w:w="80" w:type="dxa"/>
              <w:end w:w="90" w:type="dxa"/>
            </w:tcMar>
            <w:vAlign w:val="center"/>
            <w:shd w:val="clear" w:fill="FFFFFF"/>
          </w:tcPr>
          <w:p>
            <w:pPr>
              <w:spacing w:before="0" w:after="0" w:line="259" w:lineRule="auto"/>
              <w:jc w:val="right"/>
              <w:bidi w:val="1"/>
            </w:pPr>
            <w:r>
              <w:rPr>
                <w:rFonts w:ascii="Tahoma" w:hAnsi="Tahoma" w:cs="Tahoma" w:eastAsia="Tahoma"/>
                <w:b w:val="0"/>
                <w:color w:val="172B3A"/>
                <w:sz w:val="16"/>
                <w:rtl w:val="1"/>
              </w:rPr>
              <w:t>NYUv2</w:t>
            </w:r>
          </w:p>
        </w:tc>
        <w:tc>
          <w:tcPr>
            <w:tcW w:type="dxa" w:w="2380"/>
            <w:tcMar>
              <w:top w:w="80" w:type="dxa"/>
              <w:start w:w="90" w:type="dxa"/>
              <w:bottom w:w="80" w:type="dxa"/>
              <w:end w:w="90" w:type="dxa"/>
            </w:tcMar>
            <w:vAlign w:val="center"/>
            <w:shd w:val="clear" w:fill="FFFFFF"/>
          </w:tcPr>
          <w:p>
            <w:pPr>
              <w:spacing w:before="0" w:after="0" w:line="259" w:lineRule="auto"/>
              <w:jc w:val="right"/>
              <w:bidi w:val="1"/>
            </w:pPr>
            <w:r>
              <w:rPr>
                <w:rFonts w:ascii="Tahoma" w:hAnsi="Tahoma" w:cs="Tahoma" w:eastAsia="Tahoma"/>
                <w:b w:val="0"/>
                <w:color w:val="172B3A"/>
                <w:sz w:val="15"/>
                <w:rtl w:val="1"/>
              </w:rPr>
              <w:t>مدل پیشنهادی (دارای K) — نسخهٔ ViT-S، فاین‌تیون چندمجموعه‌ای بدون دادهٔ NYUv2</w:t>
            </w:r>
          </w:p>
        </w:tc>
        <w:tc>
          <w:tcPr>
            <w:tcW w:type="dxa" w:w="900"/>
            <w:tcMar>
              <w:top w:w="80" w:type="dxa"/>
              <w:start w:w="90" w:type="dxa"/>
              <w:bottom w:w="80" w:type="dxa"/>
              <w:end w:w="90" w:type="dxa"/>
            </w:tcMar>
            <w:vAlign w:val="center"/>
            <w:shd w:val="clear" w:fill="FFFFFF"/>
          </w:tcPr>
          <w:p>
            <w:pPr>
              <w:spacing w:before="0" w:after="0" w:line="259" w:lineRule="auto"/>
              <w:jc w:val="center"/>
              <w:bidi w:val="1"/>
            </w:pPr>
            <w:r>
              <w:rPr>
                <w:rFonts w:ascii="Tahoma" w:hAnsi="Tahoma" w:cs="Tahoma" w:eastAsia="Tahoma"/>
                <w:b w:val="0"/>
                <w:color w:val="172B3A"/>
                <w:sz w:val="16"/>
              </w:rPr>
              <w:t>0.0657</w:t>
            </w:r>
          </w:p>
        </w:tc>
        <w:tc>
          <w:tcPr>
            <w:tcW w:type="dxa" w:w="900"/>
            <w:tcMar>
              <w:top w:w="80" w:type="dxa"/>
              <w:start w:w="90" w:type="dxa"/>
              <w:bottom w:w="80" w:type="dxa"/>
              <w:end w:w="90" w:type="dxa"/>
            </w:tcMar>
            <w:vAlign w:val="center"/>
            <w:shd w:val="clear" w:fill="FFFFFF"/>
          </w:tcPr>
          <w:p>
            <w:pPr>
              <w:spacing w:before="0" w:after="0" w:line="259" w:lineRule="auto"/>
              <w:jc w:val="center"/>
              <w:bidi w:val="1"/>
            </w:pPr>
            <w:r>
              <w:rPr>
                <w:rFonts w:ascii="Tahoma" w:hAnsi="Tahoma" w:cs="Tahoma" w:eastAsia="Tahoma"/>
                <w:b w:val="0"/>
                <w:color w:val="172B3A"/>
                <w:sz w:val="16"/>
              </w:rPr>
              <w:t>0.9578</w:t>
            </w:r>
          </w:p>
        </w:tc>
        <w:tc>
          <w:tcPr>
            <w:tcW w:type="dxa" w:w="2380"/>
            <w:tcMar>
              <w:top w:w="80" w:type="dxa"/>
              <w:start w:w="90" w:type="dxa"/>
              <w:bottom w:w="80" w:type="dxa"/>
              <w:end w:w="90" w:type="dxa"/>
            </w:tcMar>
            <w:vAlign w:val="center"/>
            <w:shd w:val="clear" w:fill="FFFFFF"/>
          </w:tcPr>
          <w:p>
            <w:pPr>
              <w:spacing w:before="0" w:after="0" w:line="259" w:lineRule="auto"/>
              <w:jc w:val="right"/>
              <w:bidi w:val="1"/>
            </w:pPr>
            <w:r>
              <w:rPr>
                <w:rFonts w:ascii="Tahoma" w:hAnsi="Tahoma" w:cs="Tahoma" w:eastAsia="Tahoma"/>
                <w:b w:val="0"/>
                <w:color w:val="172B3A"/>
                <w:sz w:val="15"/>
                <w:rtl w:val="1"/>
              </w:rPr>
              <w:t>مدل پایهٔ منتشرشدهٔ Depth Anything V2 — نسخهٔ نسبی ViT-S</w:t>
            </w:r>
          </w:p>
        </w:tc>
        <w:tc>
          <w:tcPr>
            <w:tcW w:type="dxa" w:w="900"/>
            <w:tcMar>
              <w:top w:w="80" w:type="dxa"/>
              <w:start w:w="90" w:type="dxa"/>
              <w:bottom w:w="80" w:type="dxa"/>
              <w:end w:w="90" w:type="dxa"/>
            </w:tcMar>
            <w:vAlign w:val="center"/>
            <w:shd w:val="clear" w:fill="FFFFFF"/>
          </w:tcPr>
          <w:p>
            <w:pPr>
              <w:spacing w:before="0" w:after="0" w:line="259" w:lineRule="auto"/>
              <w:jc w:val="center"/>
              <w:bidi w:val="1"/>
            </w:pPr>
            <w:r>
              <w:rPr>
                <w:rFonts w:ascii="Tahoma" w:hAnsi="Tahoma" w:cs="Tahoma" w:eastAsia="Tahoma"/>
                <w:b w:val="0"/>
                <w:color w:val="172B3A"/>
                <w:sz w:val="16"/>
              </w:rPr>
              <w:t>0.0508</w:t>
            </w:r>
          </w:p>
        </w:tc>
        <w:tc>
          <w:tcPr>
            <w:tcW w:type="dxa" w:w="900"/>
            <w:tcMar>
              <w:top w:w="80" w:type="dxa"/>
              <w:start w:w="90" w:type="dxa"/>
              <w:bottom w:w="80" w:type="dxa"/>
              <w:end w:w="90" w:type="dxa"/>
            </w:tcMar>
            <w:vAlign w:val="center"/>
            <w:shd w:val="clear" w:fill="FFFFFF"/>
          </w:tcPr>
          <w:p>
            <w:pPr>
              <w:spacing w:before="0" w:after="0" w:line="259" w:lineRule="auto"/>
              <w:jc w:val="center"/>
              <w:bidi w:val="1"/>
            </w:pPr>
            <w:r>
              <w:rPr>
                <w:rFonts w:ascii="Tahoma" w:hAnsi="Tahoma" w:cs="Tahoma" w:eastAsia="Tahoma"/>
                <w:b w:val="0"/>
                <w:color w:val="172B3A"/>
                <w:sz w:val="16"/>
              </w:rPr>
              <w:t>0.9733</w:t>
            </w:r>
          </w:p>
        </w:tc>
      </w:tr>
    </w:tbl>
    <w:p>
      <w:pPr>
        <w:spacing w:before="100" w:after="160" w:line="300" w:lineRule="auto"/>
        <w:ind w:left="173" w:right="173"/>
        <w:jc w:val="both"/>
        <w:bidi w:val="1"/>
        <w:shd w:val="clear" w:fill="F2F4F7"/>
        <w:pBdr>
          <w:right w:val="single" w:sz="18" w:space="8" w:color="1F4D78"/>
        </w:pBdr>
      </w:pPr>
      <w:r>
        <w:rPr>
          <w:rFonts w:ascii="Tahoma" w:hAnsi="Tahoma" w:cs="Tahoma" w:eastAsia="Tahoma"/>
          <w:b/>
          <w:color w:val="1F4D78"/>
          <w:sz w:val="22"/>
          <w:rtl w:val="1"/>
        </w:rPr>
        <w:t xml:space="preserve">جهت فلش‌ها:  </w:t>
      </w:r>
      <w:r>
        <w:rPr>
          <w:rFonts w:ascii="Tahoma" w:hAnsi="Tahoma" w:cs="Tahoma" w:eastAsia="Tahoma"/>
          <w:b w:val="0"/>
          <w:color w:val="172B3A"/>
          <w:sz w:val="22"/>
          <w:rtl w:val="1"/>
        </w:rPr>
        <w:t>در ستون AbsRel عدد کمتر بهتر است؛ در ستون δ₁ عدد بیشتر بهتر است. هر مقدار اکنون در سلول مستقل قرار دارد. مقادیر مدل مرجع از وزن‌های رسمی منتشرشده و ارزیابی با زنجیرهٔ این پژوهش به‌دست آمده‌اند.</w:t>
      </w:r>
    </w:p>
    <w:p>
      <w:r/>
    </w:p>
    <w:p>
      <w:pPr>
        <w:pStyle w:val="Heading1"/>
        <w:jc w:val="right"/>
        <w:keepNext/>
        <w:bidi w:val="1"/>
      </w:pPr>
      <w:r>
        <w:rPr>
          <w:rFonts w:ascii="Tahoma" w:hAnsi="Tahoma" w:cs="Tahoma" w:eastAsia="Tahoma"/>
          <w:b/>
          <w:i w:val="0"/>
          <w:color w:val="2E74B5"/>
          <w:sz w:val="32"/>
          <w:rtl w:val="1"/>
        </w:rPr>
        <w:t>۱. اول معیارها را درست بخوانیم</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AbsRel↓: </w:t>
      </w:r>
      <w:r>
        <w:rPr>
          <w:rFonts w:ascii="Tahoma" w:hAnsi="Tahoma" w:cs="Tahoma" w:eastAsia="Tahoma"/>
          <w:b w:val="0"/>
          <w:i w:val="0"/>
          <w:color w:val="172B3A"/>
          <w:sz w:val="22"/>
          <w:rtl w:val="1"/>
        </w:rPr>
        <w:t>میانگین خطای نسبی عمق است. صفر ایده‌آل است و هرچه عدد بزرگ‌تر شود، خطای نسبی بیشتر است.</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δ₁↑: </w:t>
      </w:r>
      <w:r>
        <w:rPr>
          <w:rFonts w:ascii="Tahoma" w:hAnsi="Tahoma" w:cs="Tahoma" w:eastAsia="Tahoma"/>
          <w:b w:val="0"/>
          <w:i w:val="0"/>
          <w:color w:val="172B3A"/>
          <w:sz w:val="22"/>
          <w:rtl w:val="1"/>
        </w:rPr>
        <w:t>سهم پیکسل‌هایی است که پیش‌بینی عمق آن‌ها در تلورانس تقریبی ۲۵٪ قرار دارد. هرچه به ۱ نزدیک‌تر باشد بهتر است.</w:t>
      </w:r>
    </w:p>
    <w:p>
      <w:pPr>
        <w:spacing w:before="100" w:after="160" w:line="300" w:lineRule="auto"/>
        <w:ind w:left="173" w:right="173"/>
        <w:jc w:val="both"/>
        <w:bidi w:val="1"/>
        <w:shd w:val="clear" w:fill="E8F3EC"/>
        <w:pBdr>
          <w:right w:val="single" w:sz="18" w:space="8" w:color="216E39"/>
        </w:pBdr>
      </w:pPr>
      <w:r>
        <w:rPr>
          <w:rFonts w:ascii="Tahoma" w:hAnsi="Tahoma" w:cs="Tahoma" w:eastAsia="Tahoma"/>
          <w:b/>
          <w:i w:val="0"/>
          <w:color w:val="216E39"/>
          <w:sz w:val="22"/>
          <w:rtl w:val="1"/>
        </w:rPr>
        <w:t xml:space="preserve">قانون سریع خواندن  </w:t>
      </w:r>
      <w:r>
        <w:rPr>
          <w:rFonts w:ascii="Tahoma" w:hAnsi="Tahoma" w:cs="Tahoma" w:eastAsia="Tahoma"/>
          <w:b w:val="0"/>
          <w:i w:val="0"/>
          <w:color w:val="172B3A"/>
          <w:sz w:val="22"/>
          <w:rtl w:val="1"/>
        </w:rPr>
        <w:t>در ستون AbsRel مقدار پایین‌تر بهتر است و در ستون δ₁ مقدار بالاتر؛ دیگر نیازی به خواندن زوجِ اسلش‌دار نیست.</w:t>
      </w:r>
    </w:p>
    <w:p>
      <w:pPr>
        <w:pStyle w:val="Heading1"/>
        <w:jc w:val="right"/>
        <w:keepNext/>
        <w:bidi w:val="1"/>
      </w:pPr>
      <w:r>
        <w:rPr>
          <w:rFonts w:ascii="Tahoma" w:hAnsi="Tahoma" w:cs="Tahoma" w:eastAsia="Tahoma"/>
          <w:b/>
          <w:i w:val="0"/>
          <w:color w:val="2E74B5"/>
          <w:sz w:val="32"/>
          <w:rtl w:val="1"/>
        </w:rPr>
        <w:t>۲. ردیف اول: KITTI و مدل پیشنهادی (دارای K) — نسخهٔ ViT-S، فاین‌تیون چندمجموعه‌ای</w:t>
      </w:r>
    </w:p>
    <w:p>
      <w:pPr>
        <w:spacing w:before="0" w:after="120" w:line="300" w:lineRule="auto"/>
        <w:jc w:val="both"/>
        <w:bidi w:val="1"/>
      </w:pPr>
      <w:r>
        <w:rPr>
          <w:rFonts w:ascii="Tahoma" w:hAnsi="Tahoma" w:cs="Tahoma" w:eastAsia="Tahoma"/>
          <w:b w:val="0"/>
          <w:i w:val="0"/>
          <w:color w:val="172B3A"/>
          <w:sz w:val="22"/>
          <w:rtl w:val="1"/>
        </w:rPr>
        <w:t xml:space="preserve">AbsRel از </w:t>
      </w:r>
      <w:r>
        <w:rPr>
          <w:rFonts w:ascii="Tahoma" w:hAnsi="Tahoma" w:cs="Tahoma" w:eastAsia="Tahoma"/>
          <w:b/>
          <w:i w:val="0"/>
          <w:color w:val="216E39"/>
          <w:sz w:val="22"/>
        </w:rPr>
        <w:t>0.0829</w:t>
      </w:r>
      <w:r>
        <w:rPr>
          <w:rFonts w:ascii="Tahoma" w:hAnsi="Tahoma" w:cs="Tahoma" w:eastAsia="Tahoma"/>
          <w:b w:val="0"/>
          <w:i w:val="0"/>
          <w:color w:val="172B3A"/>
          <w:sz w:val="22"/>
          <w:rtl w:val="1"/>
        </w:rPr>
        <w:t xml:space="preserve"> به </w:t>
      </w:r>
      <w:r>
        <w:rPr>
          <w:rFonts w:ascii="Tahoma" w:hAnsi="Tahoma" w:cs="Tahoma" w:eastAsia="Tahoma"/>
          <w:b/>
          <w:i w:val="0"/>
          <w:color w:val="9B1C1C"/>
          <w:sz w:val="22"/>
        </w:rPr>
        <w:t>0.2139</w:t>
      </w:r>
      <w:r>
        <w:rPr>
          <w:rFonts w:ascii="Tahoma" w:hAnsi="Tahoma" w:cs="Tahoma" w:eastAsia="Tahoma"/>
          <w:b w:val="0"/>
          <w:i w:val="0"/>
          <w:color w:val="172B3A"/>
          <w:sz w:val="22"/>
          <w:rtl w:val="1"/>
        </w:rPr>
        <w:t xml:space="preserve"> رسیده است؛ یعنی خطا تقریباً ۲٫۵۸ برابر شده یا حدود ۱۵۸٪ افزایش یافته است. هم‌زمان δ₁ از 0.9341 به 0.6189 افت کرده؛ کاهش ۳۱٫۵ واحد درصدی که بسیار بزرگ است.</w:t>
      </w:r>
    </w:p>
    <w:p>
      <w:pPr>
        <w:spacing w:before="100" w:after="160" w:line="300" w:lineRule="auto"/>
        <w:ind w:left="173" w:right="173"/>
        <w:jc w:val="both"/>
        <w:bidi w:val="1"/>
        <w:shd w:val="clear" w:fill="FCE8E6"/>
        <w:pBdr>
          <w:right w:val="single" w:sz="18" w:space="8" w:color="9B1C1C"/>
        </w:pBdr>
      </w:pPr>
      <w:r>
        <w:rPr>
          <w:rFonts w:ascii="Tahoma" w:hAnsi="Tahoma" w:cs="Tahoma" w:eastAsia="Tahoma"/>
          <w:b/>
          <w:i w:val="0"/>
          <w:color w:val="9B1C1C"/>
          <w:sz w:val="22"/>
          <w:rtl w:val="1"/>
        </w:rPr>
        <w:t xml:space="preserve">معنا  </w:t>
      </w:r>
      <w:r>
        <w:rPr>
          <w:rFonts w:ascii="Tahoma" w:hAnsi="Tahoma" w:cs="Tahoma" w:eastAsia="Tahoma"/>
          <w:b w:val="0"/>
          <w:i w:val="0"/>
          <w:color w:val="172B3A"/>
          <w:sz w:val="22"/>
          <w:rtl w:val="1"/>
        </w:rPr>
        <w:t>مدل پیشنهادی (دارای K) پس از فاین‌تیون چندمجموعه‌ای، بخش بزرگی از توان تعمیم صفرنمونهٔ مدل پایهٔ منتشرشدهٔ Depth Anything V2 به KITTI را از دست داده است.</w:t>
      </w:r>
    </w:p>
    <w:p>
      <w:pPr>
        <w:pStyle w:val="Heading1"/>
        <w:jc w:val="right"/>
        <w:keepNext/>
        <w:bidi w:val="1"/>
      </w:pPr>
      <w:r>
        <w:rPr>
          <w:rFonts w:ascii="Tahoma" w:hAnsi="Tahoma" w:cs="Tahoma" w:eastAsia="Tahoma"/>
          <w:b/>
          <w:i w:val="0"/>
          <w:color w:val="2E74B5"/>
          <w:sz w:val="32"/>
          <w:rtl w:val="1"/>
        </w:rPr>
        <w:t>۳. ردیف دوم: KITTI و مدل کنترل (فاقد K) — نسخهٔ ViT-S، فاین‌تیون چندمجموعه‌ای</w:t>
      </w:r>
    </w:p>
    <w:p>
      <w:pPr>
        <w:spacing w:before="0" w:after="120" w:line="300" w:lineRule="auto"/>
        <w:jc w:val="both"/>
        <w:keepNext w:val="0"/>
        <w:bidi w:val="1"/>
      </w:pPr>
      <w:r>
        <w:rPr>
          <w:rFonts w:ascii="Tahoma" w:hAnsi="Tahoma" w:cs="Tahoma" w:eastAsia="Tahoma"/>
          <w:b w:val="0"/>
          <w:i w:val="0"/>
          <w:color w:val="172B3A"/>
          <w:sz w:val="22"/>
          <w:rtl w:val="1"/>
        </w:rPr>
        <w:t>AbsRel مدل کنترل (فاقد K) 0.2132 و δ₁ آن 0.6179 است؛ تقریباً همان نتیجهٔ مدل پیشنهادی (دارای K). اختلاف بین 0.2139 و 0.2132 فقط 0.0007 و اختلاف δ₁ فقط 0.0010 است.</w:t>
      </w:r>
    </w:p>
    <w:p>
      <w:pPr>
        <w:spacing w:before="100" w:after="160" w:line="300" w:lineRule="auto"/>
        <w:ind w:left="173" w:right="173"/>
        <w:jc w:val="both"/>
        <w:bidi w:val="1"/>
        <w:shd w:val="clear" w:fill="E8F1F8"/>
        <w:pBdr>
          <w:right w:val="single" w:sz="18" w:space="8" w:color="2E74B5"/>
        </w:pBdr>
      </w:pPr>
      <w:r>
        <w:rPr>
          <w:rFonts w:ascii="Tahoma" w:hAnsi="Tahoma" w:cs="Tahoma" w:eastAsia="Tahoma"/>
          <w:b/>
          <w:i w:val="0"/>
          <w:color w:val="2E74B5"/>
          <w:sz w:val="22"/>
          <w:rtl w:val="1"/>
        </w:rPr>
        <w:t xml:space="preserve">مقایسهٔ تعیین‌کننده  </w:t>
      </w:r>
      <w:r>
        <w:rPr>
          <w:rFonts w:ascii="Tahoma" w:hAnsi="Tahoma" w:cs="Tahoma" w:eastAsia="Tahoma"/>
          <w:b w:val="0"/>
          <w:i w:val="0"/>
          <w:color w:val="172B3A"/>
          <w:sz w:val="22"/>
          <w:rtl w:val="1"/>
        </w:rPr>
        <w:t>وقتی هر دو بازو ــ با K و بدون K ــ تقریباً به یک اندازه سقوط می‌کنند، نمی‌توان شکست را به ورودی K نسبت داد. عامل مشترک، همان رژیم فاین‌تیون محدود است.</w:t>
      </w:r>
    </w:p>
    <w:p>
      <w:r/>
    </w:p>
    <w:p>
      <w:pPr>
        <w:pStyle w:val="Heading1"/>
        <w:jc w:val="right"/>
        <w:keepNext/>
        <w:bidi w:val="1"/>
      </w:pPr>
      <w:r>
        <w:rPr>
          <w:rFonts w:ascii="Tahoma" w:hAnsi="Tahoma" w:cs="Tahoma" w:eastAsia="Tahoma"/>
          <w:b/>
          <w:i w:val="0"/>
          <w:color w:val="2E74B5"/>
          <w:sz w:val="32"/>
          <w:rtl w:val="1"/>
        </w:rPr>
        <w:t>۴. ردیف سوم: NYUv2 بدون استفاده از دادهٔ NYU</w:t>
      </w:r>
    </w:p>
    <w:p>
      <w:pPr>
        <w:spacing w:before="0" w:after="120" w:line="300" w:lineRule="auto"/>
        <w:jc w:val="both"/>
        <w:keepNext w:val="0"/>
        <w:bidi w:val="1"/>
      </w:pPr>
      <w:r>
        <w:rPr>
          <w:rFonts w:ascii="Tahoma" w:hAnsi="Tahoma" w:cs="Tahoma" w:eastAsia="Tahoma"/>
          <w:b w:val="0"/>
          <w:i w:val="0"/>
          <w:color w:val="172B3A"/>
          <w:sz w:val="22"/>
          <w:rtl w:val="1"/>
        </w:rPr>
        <w:t>در این ردیف، مدل پیشنهادی (دارای K) — نسخهٔ ViT-S، فاین‌تیون چندمجموعه‌ای بدون دادهٔ NYUv2 — روی آزمون NYUv2 ارزیابی شده است. AbsRel از 0.0508 در مدل پایهٔ منتشرشدهٔ Depth Anything V2 به 0.0657 می‌رسد؛ یعنی حدود ۲۹٫۳٪ بدتر. δ₁ نیز از 0.9733 به 0.9578 کاهش می‌یابد؛ افت ۱٫۵۵ واحد درصدی.</w:t>
      </w:r>
    </w:p>
    <w:p>
      <w:pPr>
        <w:spacing w:before="0" w:after="120" w:line="300" w:lineRule="auto"/>
        <w:jc w:val="both"/>
        <w:keepNext w:val="0"/>
        <w:bidi w:val="1"/>
      </w:pPr>
      <w:r>
        <w:rPr>
          <w:rFonts w:ascii="Tahoma" w:hAnsi="Tahoma" w:cs="Tahoma" w:eastAsia="Tahoma"/>
          <w:b w:val="0"/>
          <w:i w:val="0"/>
          <w:color w:val="172B3A"/>
          <w:sz w:val="22"/>
          <w:rtl w:val="1"/>
        </w:rPr>
        <w:t>افت NYUv2 از KITTI کوچک‌تر است، اما جهت نتیجه همان است: فاین‌تیون محدود، حتی وقتی نشت داده حذف شده، تعمیم صفرنمونه را بهتر نکرده و آن را تضعیف کرده است.</w:t>
      </w:r>
    </w:p>
    <w:p>
      <w:pPr>
        <w:pStyle w:val="Heading1"/>
        <w:jc w:val="right"/>
        <w:keepNext/>
        <w:bidi w:val="1"/>
      </w:pPr>
      <w:r>
        <w:rPr>
          <w:rFonts w:ascii="Tahoma" w:hAnsi="Tahoma" w:cs="Tahoma" w:eastAsia="Tahoma"/>
          <w:b/>
          <w:i w:val="0"/>
          <w:color w:val="2E74B5"/>
          <w:sz w:val="32"/>
          <w:rtl w:val="1"/>
        </w:rPr>
        <w:t>۵. منطق علمی جدول، قدم‌به‌قدم</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مشاهدهٔ اول: </w:t>
      </w:r>
      <w:r>
        <w:rPr>
          <w:rFonts w:ascii="Tahoma" w:hAnsi="Tahoma" w:cs="Tahoma" w:eastAsia="Tahoma"/>
          <w:b w:val="0"/>
          <w:i w:val="0"/>
          <w:color w:val="172B3A"/>
          <w:sz w:val="22"/>
          <w:rtl w:val="1"/>
        </w:rPr>
        <w:t>نقطه‌های وارسی فاین‌تیون‌شده روی هر دو محک از مدل پایهٔ منتشرشدهٔ Depth Anything V2 بدترند.</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مشاهدهٔ دوم: </w:t>
      </w:r>
      <w:r>
        <w:rPr>
          <w:rFonts w:ascii="Tahoma" w:hAnsi="Tahoma" w:cs="Tahoma" w:eastAsia="Tahoma"/>
          <w:b w:val="0"/>
          <w:i w:val="0"/>
          <w:color w:val="172B3A"/>
          <w:sz w:val="22"/>
          <w:rtl w:val="1"/>
        </w:rPr>
        <w:t>در KITTI، مدل پیشنهادی (دارای K) و مدل کنترل (فاقد K) تقریباً یک نتیجه دارند.</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استنباط: </w:t>
      </w:r>
      <w:r>
        <w:rPr>
          <w:rFonts w:ascii="Tahoma" w:hAnsi="Tahoma" w:cs="Tahoma" w:eastAsia="Tahoma"/>
          <w:b w:val="0"/>
          <w:i w:val="0"/>
          <w:color w:val="172B3A"/>
          <w:sz w:val="22"/>
          <w:rtl w:val="1"/>
        </w:rPr>
        <w:t>پس دسترسی به K نه علت افت است و نه در این رژیم می‌تواند آن را جبران کند.</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توضیح محتمل: </w:t>
      </w:r>
      <w:r>
        <w:rPr>
          <w:rFonts w:ascii="Tahoma" w:hAnsi="Tahoma" w:cs="Tahoma" w:eastAsia="Tahoma"/>
          <w:b w:val="0"/>
          <w:i w:val="0"/>
          <w:color w:val="172B3A"/>
          <w:sz w:val="22"/>
          <w:rtl w:val="1"/>
        </w:rPr>
        <w:t>مدل پایهٔ منتشرشدهٔ Depth Anything V2 که با داده‌های بسیار گسترده پیش‌آموزش دیده، پس از فاین‌تیون روی چند هزار تصویر محدود یا مصنوعی به دامنه‌های آموزش تخصصی می‌شود و بخشی از بازنمایی عمومی خود را از دست می‌دهد؛ این رفتار به فراموشی فاجعه‌بار یا بیش‌تخصصی‌شدن دامنه‌ای نزدیک است.</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تصمیم آزمایشی: </w:t>
      </w:r>
      <w:r>
        <w:rPr>
          <w:rFonts w:ascii="Tahoma" w:hAnsi="Tahoma" w:cs="Tahoma" w:eastAsia="Tahoma"/>
          <w:b w:val="0"/>
          <w:i w:val="0"/>
          <w:color w:val="172B3A"/>
          <w:sz w:val="22"/>
          <w:rtl w:val="1"/>
        </w:rPr>
        <w:t>ادامهٔ پژوهش به پروتکل استاندارد درون‌دامنه‌ای منتقل می‌شود: آموزش روی بخش آموزش یک محک و ارزیابی روی بخش آزمون همان محک، با مدل کنترل (فاقد K) هم‌داده و هم‌دستور.</w:t>
      </w:r>
    </w:p>
    <w:p>
      <w:pPr>
        <w:spacing w:before="100" w:after="160" w:line="300" w:lineRule="auto"/>
        <w:ind w:left="173" w:right="173"/>
        <w:jc w:val="both"/>
        <w:bidi w:val="1"/>
        <w:shd w:val="clear" w:fill="F2F4F7"/>
        <w:pBdr>
          <w:right w:val="single" w:sz="18" w:space="8" w:color="1F4D78"/>
        </w:pBdr>
      </w:pPr>
      <w:r>
        <w:rPr>
          <w:rFonts w:ascii="Tahoma" w:hAnsi="Tahoma" w:cs="Tahoma" w:eastAsia="Tahoma"/>
          <w:b/>
          <w:i w:val="0"/>
          <w:color w:val="1F4D78"/>
          <w:sz w:val="22"/>
          <w:rtl w:val="1"/>
        </w:rPr>
        <w:t xml:space="preserve">چرا «بدون نشت» مهم است؟  </w:t>
      </w:r>
      <w:r>
        <w:rPr>
          <w:rFonts w:ascii="Tahoma" w:hAnsi="Tahoma" w:cs="Tahoma" w:eastAsia="Tahoma"/>
          <w:b w:val="0"/>
          <w:i w:val="0"/>
          <w:color w:val="172B3A"/>
          <w:sz w:val="22"/>
          <w:rtl w:val="1"/>
        </w:rPr>
        <w:t>یعنی تصاویر آزمون وارد آموزش نشده‌اند. پس افت مشاهده‌شده را نمی‌توان با آلودگی تقسیم آزمون توضیح داد. این پاکی پروتکل، نتیجهٔ منفی را معتبرتر می‌کند؛ هرچند به‌تنهایی علت دقیق افت را اثبات نمی‌کند.</w:t>
      </w:r>
    </w:p>
    <w:p>
      <w:pPr>
        <w:pStyle w:val="Heading1"/>
        <w:jc w:val="right"/>
        <w:keepNext/>
        <w:bidi w:val="1"/>
      </w:pPr>
      <w:r>
        <w:rPr>
          <w:rFonts w:ascii="Tahoma" w:hAnsi="Tahoma" w:cs="Tahoma" w:eastAsia="Tahoma"/>
          <w:b/>
          <w:i w:val="0"/>
          <w:color w:val="2E74B5"/>
          <w:sz w:val="32"/>
          <w:rtl w:val="1"/>
        </w:rPr>
        <w:t>۶. جدول چه چیزی را ثابت نمی‌کند؟</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بی‌فایده‌بودن K: </w:t>
      </w:r>
      <w:r>
        <w:rPr>
          <w:rFonts w:ascii="Tahoma" w:hAnsi="Tahoma" w:cs="Tahoma" w:eastAsia="Tahoma"/>
          <w:b w:val="0"/>
          <w:i w:val="0"/>
          <w:color w:val="172B3A"/>
          <w:sz w:val="22"/>
          <w:rtl w:val="1"/>
        </w:rPr>
        <w:t>این نتیجه نمی‌گوید پارامترهای دوربین بی‌فایده‌اند. فقط می‌گوید در این پروتکل صفرنمونه، افت ناشی از فاین‌تیون آن‌قدر بزرگ است که افزودن K آن را حل نمی‌کند.</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علت قطعی افت: </w:t>
      </w:r>
      <w:r>
        <w:rPr>
          <w:rFonts w:ascii="Tahoma" w:hAnsi="Tahoma" w:cs="Tahoma" w:eastAsia="Tahoma"/>
          <w:b w:val="0"/>
          <w:i w:val="0"/>
          <w:color w:val="172B3A"/>
          <w:sz w:val="22"/>
          <w:rtl w:val="1"/>
        </w:rPr>
        <w:t>جدول با کنترلِ K نشان می‌دهد علت اصلی اختصاصیِ K نیست؛ اما برای جداسازی دقیق عواملی مانند ترکیب داده، نرخ یادگیری یا تعداد دوره‌ها آزمایش‌های اضافی لازم است.</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معناداری آماری: </w:t>
      </w:r>
      <w:r>
        <w:rPr>
          <w:rFonts w:ascii="Tahoma" w:hAnsi="Tahoma" w:cs="Tahoma" w:eastAsia="Tahoma"/>
          <w:b w:val="0"/>
          <w:i w:val="0"/>
          <w:color w:val="172B3A"/>
          <w:sz w:val="22"/>
          <w:rtl w:val="1"/>
        </w:rPr>
        <w:t>در خود جدول p-value یا بازهٔ اطمینان وجود ندارد. بزرگی افت KITTI از نظر عملی روشن است، اما ادعای معناداری آماری زوجی باید به آزمون‌های سطح تصویر متکی باشد.</w:t>
      </w:r>
    </w:p>
    <w:p>
      <w:pPr>
        <w:pStyle w:val="ListBullet"/>
        <w:spacing w:after="80" w:line="300" w:lineRule="auto"/>
        <w:ind w:right="547" w:hanging="274"/>
        <w:jc w:val="both"/>
        <w:bidi w:val="1"/>
      </w:pPr>
      <w:r>
        <w:rPr>
          <w:rFonts w:ascii="Tahoma" w:hAnsi="Tahoma" w:cs="Tahoma" w:eastAsia="Tahoma"/>
          <w:b/>
          <w:i w:val="0"/>
          <w:color w:val="1F4D78"/>
          <w:sz w:val="22"/>
          <w:rtl w:val="1"/>
        </w:rPr>
        <w:t xml:space="preserve">مقایسهٔ نهایی معماری: </w:t>
      </w:r>
      <w:r>
        <w:rPr>
          <w:rFonts w:ascii="Tahoma" w:hAnsi="Tahoma" w:cs="Tahoma" w:eastAsia="Tahoma"/>
          <w:b w:val="0"/>
          <w:i w:val="0"/>
          <w:color w:val="172B3A"/>
          <w:sz w:val="22"/>
          <w:rtl w:val="1"/>
        </w:rPr>
        <w:t>این جدول برای انتخاب برنده بین معماری‌ها طراحی نشده است؛ نقش آن تشخیص نامناسب‌بودن مسیر آزمایشی و اصلاح پروتکل ادامهٔ پژوهش است.</w:t>
      </w:r>
    </w:p>
    <w:p>
      <w:r/>
    </w:p>
    <w:p>
      <w:pPr>
        <w:spacing w:before="0" w:after="120" w:line="240" w:lineRule="auto"/>
        <w:jc w:val="right"/>
        <w:keepNext w:val="0"/>
        <w:bidi w:val="1"/>
      </w:pPr>
      <w:r>
        <w:rPr>
          <w:rFonts w:ascii="Tahoma" w:hAnsi="Tahoma" w:cs="Tahoma" w:eastAsia="Tahoma"/>
          <w:b/>
          <w:i w:val="0"/>
          <w:color w:val="2E74B5"/>
          <w:sz w:val="20"/>
          <w:rtl w:val="1"/>
        </w:rPr>
        <w:t>جمع‌بندی و پاسخ دفاع</w:t>
      </w:r>
    </w:p>
    <w:p>
      <w:pPr>
        <w:pStyle w:val="Heading1"/>
        <w:jc w:val="right"/>
        <w:keepNext/>
        <w:bidi w:val="1"/>
      </w:pPr>
      <w:r>
        <w:rPr>
          <w:rFonts w:ascii="Tahoma" w:hAnsi="Tahoma" w:cs="Tahoma" w:eastAsia="Tahoma"/>
          <w:b/>
          <w:i w:val="0"/>
          <w:color w:val="2E74B5"/>
          <w:sz w:val="32"/>
          <w:rtl w:val="1"/>
        </w:rPr>
        <w:t>۷. پاسخ آماده برای جلسهٔ دفاع</w:t>
      </w:r>
    </w:p>
    <w:p>
      <w:pPr>
        <w:spacing w:before="100" w:after="160" w:line="300" w:lineRule="auto"/>
        <w:ind w:left="173" w:right="173"/>
        <w:jc w:val="both"/>
        <w:bidi w:val="1"/>
        <w:shd w:val="clear" w:fill="E8F1F8"/>
        <w:pBdr>
          <w:right w:val="single" w:sz="18" w:space="8" w:color="2E74B5"/>
        </w:pBdr>
      </w:pPr>
      <w:r>
        <w:rPr>
          <w:rFonts w:ascii="Tahoma" w:hAnsi="Tahoma" w:cs="Tahoma" w:eastAsia="Tahoma"/>
          <w:b/>
          <w:i w:val="0"/>
          <w:color w:val="2E74B5"/>
          <w:sz w:val="22"/>
          <w:rtl w:val="1"/>
        </w:rPr>
        <w:t xml:space="preserve">پاسخ ۳۰ ثانیه‌ای  </w:t>
      </w:r>
      <w:r>
        <w:rPr>
          <w:rFonts w:ascii="Tahoma" w:hAnsi="Tahoma" w:cs="Tahoma" w:eastAsia="Tahoma"/>
          <w:b w:val="0"/>
          <w:i w:val="0"/>
          <w:color w:val="172B3A"/>
          <w:sz w:val="22"/>
          <w:rtl w:val="1"/>
        </w:rPr>
        <w:t>جدول ۴.۵ نشان می‌دهد فاین‌تیون چندمجموعه‌ای محدود، تعمیم صفرنمونهٔ مدل پایهٔ منتشرشدهٔ Depth Anything V2 را خراب کرده است. روی KITTI، AbsRel از حدود 0.083 به حدود 0.214 می‌رسد و δ₁ از 0.934 به حدود 0.619 سقوط می‌کند. چون مدل پیشنهادی (دارای K) و مدل کنترل (فاقد K) تقریباً دقیقاً یک افت دارند، این شکست ناشی از پارامترهای دوربین نیست؛ بلکه ناشی از رژیم فاین‌تیون و از‌دست‌رفتن بازنمایی عمومی مدل است. بنابراین آزمایش‌های اصلی به پروتکل استاندارد درون‌دامنه‌ای و مقایسهٔ کنترل‌شده منتقل شدند.</w:t>
      </w:r>
    </w:p>
    <w:p>
      <w:pPr>
        <w:pageBreakBefore/>
        <w:spacing w:after="120"/>
        <w:jc w:val="right"/>
        <w:bidi w:val="1"/>
      </w:pPr>
      <w:r>
        <w:rPr>
          <w:rFonts w:ascii="Tahoma" w:hAnsi="Tahoma" w:cs="Tahoma" w:eastAsia="Tahoma"/>
          <w:b/>
          <w:color w:val="2E74B5"/>
          <w:sz w:val="20"/>
          <w:rtl w:val="1"/>
        </w:rPr>
        <w:t>نتیجهٔ نهایی</w:t>
      </w:r>
    </w:p>
    <w:p>
      <w:pPr>
        <w:pStyle w:val="Heading1"/>
        <w:jc w:val="right"/>
        <w:keepNext/>
        <w:bidi w:val="1"/>
      </w:pPr>
      <w:r>
        <w:rPr>
          <w:rFonts w:ascii="Tahoma" w:hAnsi="Tahoma" w:cs="Tahoma" w:eastAsia="Tahoma"/>
          <w:b/>
          <w:i w:val="0"/>
          <w:color w:val="2E74B5"/>
          <w:sz w:val="32"/>
          <w:rtl w:val="1"/>
        </w:rPr>
        <w:t>۸. جمع‌بندی نهایی</w:t>
      </w:r>
    </w:p>
    <w:tbl>
      <w:tblPr>
        <w:tblStyle w:val="TableGrid"/>
        <w:tblW w:type="dxa" w:w="9360"/>
        <w:jc w:val="center"/>
        <w:tblLayout w:type="fixed"/>
        <w:tblLook w:firstColumn="1" w:firstRow="1" w:lastColumn="0" w:lastRow="0" w:noHBand="0" w:noVBand="1" w:val="04A0"/>
        <w:tblInd w:w="120" w:type="dxa"/>
        <w:bidiVisual w:val="1"/>
      </w:tblPr>
      <w:tblGrid>
        <w:gridCol w:w="2200"/>
        <w:gridCol w:w="7160"/>
      </w:tblGrid>
      <w:tr>
        <w:trPr>
          <w:cantSplit/>
        </w:trPr>
        <w:tc>
          <w:tcPr>
            <w:tcW w:type="dxa" w:w="2200"/>
            <w:tcMar>
              <w:top w:w="80" w:type="dxa"/>
              <w:start w:w="120" w:type="dxa"/>
              <w:bottom w:w="80" w:type="dxa"/>
              <w:end w:w="120" w:type="dxa"/>
            </w:tcMar>
            <w:vAlign w:val="center"/>
            <w:shd w:val="clear" w:fill="E8F1F8"/>
          </w:tcPr>
          <w:p>
            <w:pPr>
              <w:spacing w:after="0"/>
              <w:jc w:val="right"/>
              <w:bidi w:val="1"/>
            </w:pPr>
            <w:r>
              <w:rPr>
                <w:rFonts w:ascii="Tahoma" w:hAnsi="Tahoma" w:cs="Tahoma" w:eastAsia="Tahoma"/>
                <w:b/>
                <w:i w:val="0"/>
                <w:color w:val="1F4D78"/>
                <w:sz w:val="21"/>
                <w:rtl w:val="1"/>
              </w:rPr>
              <w:t>یافته</w:t>
            </w:r>
          </w:p>
        </w:tc>
        <w:tc>
          <w:tcPr>
            <w:tcW w:type="dxa" w:w="7160"/>
            <w:tcMar>
              <w:top w:w="80" w:type="dxa"/>
              <w:start w:w="120" w:type="dxa"/>
              <w:bottom w:w="80" w:type="dxa"/>
              <w:end w:w="120" w:type="dxa"/>
            </w:tcMar>
            <w:vAlign w:val="center"/>
            <w:shd w:val="clear" w:fill="FFFFFF"/>
          </w:tcPr>
          <w:p>
            <w:pPr>
              <w:spacing w:after="0"/>
              <w:jc w:val="right"/>
              <w:bidi w:val="1"/>
            </w:pPr>
            <w:r>
              <w:rPr>
                <w:rFonts w:ascii="Tahoma" w:hAnsi="Tahoma" w:cs="Tahoma" w:eastAsia="Tahoma"/>
                <w:b w:val="0"/>
                <w:i w:val="0"/>
                <w:color w:val="172B3A"/>
                <w:sz w:val="21"/>
                <w:rtl w:val="1"/>
              </w:rPr>
              <w:t>فاین‌تیون محدود، تعمیم صفرنمونه را به‌ویژه روی KITTI به‌شدت کاهش می‌دهد.</w:t>
            </w:r>
          </w:p>
        </w:tc>
      </w:tr>
      <w:tr>
        <w:trPr>
          <w:cantSplit/>
        </w:trPr>
        <w:tc>
          <w:tcPr>
            <w:tcW w:type="dxa" w:w="2200"/>
            <w:tcMar>
              <w:top w:w="80" w:type="dxa"/>
              <w:start w:w="120" w:type="dxa"/>
              <w:bottom w:w="80" w:type="dxa"/>
              <w:end w:w="120" w:type="dxa"/>
            </w:tcMar>
            <w:vAlign w:val="center"/>
            <w:shd w:val="clear" w:fill="E8F1F8"/>
          </w:tcPr>
          <w:p>
            <w:pPr>
              <w:spacing w:after="0"/>
              <w:jc w:val="right"/>
              <w:bidi w:val="1"/>
            </w:pPr>
            <w:r>
              <w:rPr>
                <w:rFonts w:ascii="Tahoma" w:hAnsi="Tahoma" w:cs="Tahoma" w:eastAsia="Tahoma"/>
                <w:b/>
                <w:i w:val="0"/>
                <w:color w:val="1F4D78"/>
                <w:sz w:val="21"/>
                <w:rtl w:val="1"/>
              </w:rPr>
              <w:t>نقش K</w:t>
            </w:r>
          </w:p>
        </w:tc>
        <w:tc>
          <w:tcPr>
            <w:tcW w:type="dxa" w:w="7160"/>
            <w:tcMar>
              <w:top w:w="80" w:type="dxa"/>
              <w:start w:w="120" w:type="dxa"/>
              <w:bottom w:w="80" w:type="dxa"/>
              <w:end w:w="120" w:type="dxa"/>
            </w:tcMar>
            <w:vAlign w:val="center"/>
            <w:shd w:val="clear" w:fill="F2F4F7"/>
          </w:tcPr>
          <w:p>
            <w:pPr>
              <w:spacing w:after="0"/>
              <w:jc w:val="right"/>
              <w:bidi w:val="1"/>
            </w:pPr>
            <w:r>
              <w:rPr>
                <w:rFonts w:ascii="Tahoma" w:hAnsi="Tahoma" w:cs="Tahoma" w:eastAsia="Tahoma"/>
                <w:b w:val="0"/>
                <w:i w:val="0"/>
                <w:color w:val="172B3A"/>
                <w:sz w:val="21"/>
                <w:rtl w:val="1"/>
              </w:rPr>
              <w:t>افت تقریباً یکسانِ دو بازو نشان می‌دهد K علت شکست نیست.</w:t>
            </w:r>
          </w:p>
        </w:tc>
      </w:tr>
      <w:tr>
        <w:trPr>
          <w:cantSplit/>
        </w:trPr>
        <w:tc>
          <w:tcPr>
            <w:tcW w:type="dxa" w:w="2200"/>
            <w:tcMar>
              <w:top w:w="80" w:type="dxa"/>
              <w:start w:w="120" w:type="dxa"/>
              <w:bottom w:w="80" w:type="dxa"/>
              <w:end w:w="120" w:type="dxa"/>
            </w:tcMar>
            <w:vAlign w:val="center"/>
            <w:shd w:val="clear" w:fill="E8F1F8"/>
          </w:tcPr>
          <w:p>
            <w:pPr>
              <w:spacing w:after="0"/>
              <w:jc w:val="right"/>
              <w:bidi w:val="1"/>
            </w:pPr>
            <w:r>
              <w:rPr>
                <w:rFonts w:ascii="Tahoma" w:hAnsi="Tahoma" w:cs="Tahoma" w:eastAsia="Tahoma"/>
                <w:b/>
                <w:i w:val="0"/>
                <w:color w:val="1F4D78"/>
                <w:sz w:val="21"/>
                <w:rtl w:val="1"/>
              </w:rPr>
              <w:t>ارزش علمی</w:t>
            </w:r>
          </w:p>
        </w:tc>
        <w:tc>
          <w:tcPr>
            <w:tcW w:type="dxa" w:w="7160"/>
            <w:tcMar>
              <w:top w:w="80" w:type="dxa"/>
              <w:start w:w="120" w:type="dxa"/>
              <w:bottom w:w="80" w:type="dxa"/>
              <w:end w:w="120" w:type="dxa"/>
            </w:tcMar>
            <w:vAlign w:val="center"/>
            <w:shd w:val="clear" w:fill="FFFFFF"/>
          </w:tcPr>
          <w:p>
            <w:pPr>
              <w:spacing w:after="0"/>
              <w:jc w:val="right"/>
              <w:bidi w:val="1"/>
            </w:pPr>
            <w:r>
              <w:rPr>
                <w:rFonts w:ascii="Tahoma" w:hAnsi="Tahoma" w:cs="Tahoma" w:eastAsia="Tahoma"/>
                <w:b w:val="0"/>
                <w:i w:val="0"/>
                <w:color w:val="172B3A"/>
                <w:sz w:val="21"/>
                <w:rtl w:val="1"/>
              </w:rPr>
              <w:t>یک نتیجهٔ منفیِ معتبر است که مسیر آزمایش نامناسب را حذف می‌کند.</w:t>
            </w:r>
          </w:p>
        </w:tc>
      </w:tr>
      <w:tr>
        <w:trPr>
          <w:cantSplit/>
        </w:trPr>
        <w:tc>
          <w:tcPr>
            <w:tcW w:type="dxa" w:w="2200"/>
            <w:tcMar>
              <w:top w:w="80" w:type="dxa"/>
              <w:start w:w="120" w:type="dxa"/>
              <w:bottom w:w="80" w:type="dxa"/>
              <w:end w:w="120" w:type="dxa"/>
            </w:tcMar>
            <w:vAlign w:val="center"/>
            <w:shd w:val="clear" w:fill="E8F1F8"/>
          </w:tcPr>
          <w:p>
            <w:pPr>
              <w:spacing w:after="0"/>
              <w:jc w:val="right"/>
              <w:bidi w:val="1"/>
            </w:pPr>
            <w:r>
              <w:rPr>
                <w:rFonts w:ascii="Tahoma" w:hAnsi="Tahoma" w:cs="Tahoma" w:eastAsia="Tahoma"/>
                <w:b/>
                <w:i w:val="0"/>
                <w:color w:val="1F4D78"/>
                <w:sz w:val="21"/>
                <w:rtl w:val="1"/>
              </w:rPr>
              <w:t>پیامد</w:t>
            </w:r>
          </w:p>
        </w:tc>
        <w:tc>
          <w:tcPr>
            <w:tcW w:type="dxa" w:w="7160"/>
            <w:tcMar>
              <w:top w:w="80" w:type="dxa"/>
              <w:start w:w="120" w:type="dxa"/>
              <w:bottom w:w="80" w:type="dxa"/>
              <w:end w:w="120" w:type="dxa"/>
            </w:tcMar>
            <w:vAlign w:val="center"/>
            <w:shd w:val="clear" w:fill="F2F4F7"/>
          </w:tcPr>
          <w:p>
            <w:pPr>
              <w:spacing w:after="0"/>
              <w:jc w:val="right"/>
              <w:bidi w:val="1"/>
            </w:pPr>
            <w:r>
              <w:rPr>
                <w:rFonts w:ascii="Tahoma" w:hAnsi="Tahoma" w:cs="Tahoma" w:eastAsia="Tahoma"/>
                <w:b w:val="0"/>
                <w:i w:val="0"/>
                <w:color w:val="172B3A"/>
                <w:sz w:val="21"/>
                <w:rtl w:val="1"/>
              </w:rPr>
              <w:t>مقایسهٔ اصلی باید در پروتکل درون‌دامنه‌ای، بدون نشت و با مدل کنترل (فاقد K) همسان انجام شود.</w:t>
            </w:r>
          </w:p>
        </w:tc>
      </w:tr>
    </w:tbl>
    <w:sectPr w:rsidR="00FC693F" w:rsidRPr="0006063C" w:rsidSect="00034616">
      <w:headerReference w:type="default" r:id="rId9"/>
      <w:footerReference w:type="default" r:id="rId10"/>
      <w:pgSz w:w="12240" w:h="15840"/>
      <w:pgMar w:top="1224"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s="Tahoma" w:eastAsia="Tahoma"/>
        <w:b w:val="0"/>
        <w:i w:val="0"/>
        <w:color w:val="5B67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Bdr>
        <w:bottom w:val="single" w:sz="6" w:space="6" w:color="D5DEE5"/>
      </w:pBdr>
    </w:pPr>
    <w:r>
      <w:rPr>
        <w:rFonts w:ascii="Tahoma" w:hAnsi="Tahoma" w:cs="Tahoma" w:eastAsia="Tahoma"/>
        <w:b w:val="0"/>
        <w:i w:val="0"/>
        <w:color w:val="5B6770"/>
        <w:sz w:val="18"/>
        <w:rtl w:val="1"/>
      </w:rPr>
      <w:t>راهنمای خواندن نتایج فصل چهارم  |  جدول ۴.۵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Tahoma" w:hAnsi="Tahoma"/>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ahoma" w:hAnsi="Tahom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ahoma" w:hAnsi="Tahom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ahoma" w:hAnsi="Tahom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ahoma" w:hAnsi="Tahoma"/>
      <w:b w:val="0"/>
      <w:color w:val="172B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Tahoma" w:hAnsi="Tahoma"/>
      <w:b w:val="0"/>
      <w:i/>
      <w:iCs/>
      <w:color w:val="5B67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Tahoma" w:hAnsi="Tahom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جدول ۴.۵: ارزیابی صفرنمونه</dc:title>
  <dc:subject>تفسیر نتایج فصل چهارم پایان‌نامه</dc:subject>
  <dc:creator/>
  <cp:keywords>Table 4.5, zero-shot, fine-tuning, KITTI, NYUv2, camera intrinsics</cp:keywords>
  <dc:description>generated by python-docx</dc:description>
  <cp:lastModifiedBy/>
  <cp:revision>1</cp:revision>
  <dcterms:created xsi:type="dcterms:W3CDTF">2013-12-23T23:15:00Z</dcterms:created>
  <dcterms:modified xsi:type="dcterms:W3CDTF">2013-12-23T23:15:00Z</dcterms:modified>
  <cp:category/>
</cp:coreProperties>
</file>