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DE CLÔTURE DE LIQUIDATION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 — Siège social : $SIEGE_SOCIAL — RC N° $RC_NUMERO — Société en liquidation.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la décision de l'associé unique en date du $DATE_CLOTURE_LIQUIDATION, l'associé unique de la société </w:t>
      </w: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DH, société en liquidation, a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L'approbation des comptes définitifs de la liquidation, arrêtés à la date du $DATE_CLOTURE_LIQUIDATION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$RESULTAT_LIQUIDATION_TYPE = « boni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constatation d'un boni de liquidation de $BONI_LIQUIDATION_CHIFFRES DH attribué en totalité à l'associé unique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SINON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constatation d'un mali de liquidation de $MALI_LIQUIDATION_CHIFFRES DH supporté par l'associé unique dans la limite de son apport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quitus entier et sans réserve donné à $LIQUIDATEUR_CIVILITE $LIQUIDATEUR_PRENOM $LIQUIDATEUR_NOM pour l'exécution de son mandat et la décharge de sa gestion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constatation de la clôture définitive des opérations de liquidation à la date du $DATE_CLOTURE_LIQUIDATION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 à conférer en vue de la radiation de la société du registre du commerce et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société sera radiée du registre du commerce du tribunal de Commerce de $VILLE_GREFFE.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