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 xml:space="preserve">AVIS D'OUVERTURE DE SUCCURSALE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capital de $CAPITAL_CHIFFRES DH — Siège social : $SIEGE_SOCIAL — RC N° $RC_NUMERO.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l'assemblée générale extraordinaire en date du $ASSEMBLEE_DATE, les associés de la société </w:t>
      </w: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capital de $CAPITAL_CHIFFRES DH, ont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L'ouverture d'une succursale exploitée sous l'enseigne « $SUCCURSALE_ENSEIGNE », sise à $SUCCURSALE_ADRESSE, $SUCCURSALE_VILLE, ayant pour activité $SUCCURSALE_ACTIVITE, à compter du $SUCCURSALE_DATE_OUVERTURE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$SUCCURSALE_DOTATION_PRESENTE = « oui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L'affectation à la succursale d'une dotation de $SUCCURSALE_DOTATION_CHIFFRES DH ($SUCCURSALE_DOTATION_LETTRES)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$SUCCURSALE_RESPONSABLE_PRESENT = « oui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désignation de $SUCCURSALE_RESPONSABLE_CIVILITE $SUCCURSALE_RESPONSABLE_PRENOM $SUCCURSALE_RESPONSABLE_NOM en qualité de responsable de la succursale, avec les pouvoirs suivants : $SUCCURSALE_RESPONSABLE_POUVOIRS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Pouvoirs à conférer en vue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succursale sera immatriculée au registre du commerce du tribunal de Commerce de $SUCCURSALE_VILLE_GREFFE.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dépôt légal a été effectué au Greffier du tribunal de Commerce de $VILLE_GREFFE, le $DATE_DEPOT_LEGAL sous le numéro $DEPOT_LEGAL_NUMERO RC N° $RC_NUMERO.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