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Times New Roman" w:hAnsi="Times New Roman"/>
          <w:b/>
          <w:color w:val="1F4E79"/>
          <w:sz w:val="32"/>
        </w:rPr>
        <w:t xml:space="preserve">AVIS D'OUVERTURE DE SUCCURSALE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/>
          <w:color w:val="000000"/>
          <w:sz w:val="22"/>
        </w:rPr>
        <w:t xml:space="preserve"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au capital de $CAPITAL_CHIFFRES DH — Siège social : $SIEGE_SOCIAL — RC N° $RC_NUMERO.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Aux termes de la décision de l'associé unique en date du $ASSEMBLEE_DATE, l'associé unique de la société </w:t>
      </w:r>
      <w:r>
        <w:rPr>
          <w:rFonts w:ascii="Times New Roman" w:hAnsi="Times New Roman"/>
          <w:b/>
          <w:color w:val="000000"/>
          <w:sz w:val="22"/>
        </w:rPr>
        <w:t xml:space="preserve"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au capital de $CAPITAL_CHIFFRES DH, a décidé :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L'ouverture d'une succursale exploitée sous l'enseigne « $SUCCURSALE_ENSEIGNE », sise à $SUCCURSALE_ADRESSE, $SUCCURSALE_VILLE, ayant pour activité $SUCCURSALE_ACTIVITE, à compter du $SUCCURSALE_DATE_OUVERTURE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◇ SI : $SUCCURSALE_DOTATION_PRESENTE = « oui »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L'affectation à la succursale d'une dotation de $SUCCURSALE_DOTATION_CHIFFRES DH ($SUCCURSALE_DOTATION_LETTRES) ;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◆ FIN SI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◇ SI : $SUCCURSALE_RESPONSABLE_PRESENT = « oui »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désignation de $SUCCURSALE_RESPONSABLE_CIVILITE $SUCCURSALE_RESPONSABLE_PRENOM $SUCCURSALE_RESPONSABLE_NOM en qualité de responsable de la succursale, avec les pouvoirs suivants : $SUCCURSALE_RESPONSABLE_POUVOIRS ;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◆ FIN SI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Pouvoir à conférer en vue de l'accomplissement des formalités prévues par la loi.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succursale sera immatriculée au registre du commerce du tribunal de Commerce de $SUCCURSALE_VILLE_GREFFE.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Le dépôt légal a été effectué au Greffier du tribunal de Commerce de $VILLE_GREFFE, le $DATE_DEPOT_LEGAL sous le numéro $DEPOT_LEGAL_NUMERO RC N° $RC_NUMERO.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