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 Built an LLM From Scratch" — Özet ve İnceleme</w:t>
      </w:r>
    </w:p>
    <w:p>
      <w:pPr>
        <w:spacing w:after="100"/>
      </w:pPr>
      <w:r>
        <w:t xml:space="preserve">Kaynaklar: CJ (w3cj), YouTube videosu "I Built an LLM From Scratch" (https://www.youtube.com/watch?v=YmLp8qe87A0) ve eşlik eden GitHub reposu "how-llms-work" (https://github.com/w3cj/how-llms-work).</w:t>
      </w:r>
    </w:p>
    <w:p>
      <w:pPr>
        <w:spacing w:after="300"/>
      </w:pPr>
      <w:r>
        <w:t xml:space="preserve">Not: Video, doğrudan izlenip transkript çıkarılabilecek bir kaynak olarak erişilemedi; bu özet, videonun herkese açık başlık/açıklama bilgisiyle repodaki README ve kaynak kod açıklamalarının birebir örtüşmesine dayanılarak hazırlanmıştır (video reponun canlı, kod üzerinden anlatılan sunumu niteliğinde).</w:t>
      </w:r>
    </w:p>
    <w:p>
      <w:pPr>
        <w:pStyle w:val="Heading1"/>
        <w:spacing w:after="150" w:before="300"/>
      </w:pPr>
      <w:r>
        <w:t xml:space="preserve">1. Projenin Genel Fikri</w:t>
      </w:r>
    </w:p>
    <w:p>
      <w:pPr>
        <w:spacing w:after="160"/>
      </w:pPr>
      <w:r>
        <w:t xml:space="preserve">Proje, bir LLM'in (büyük dil modeli) uçtan uca nasıl çalıştığını, hiçbir hazır makine öğrenmesi kütüphanesi kullanmadan, tarayıcıda çalışan interaktif bir uygulama üzerinden gösteriyor. Amaç, "kalıp eşleştirmeden" (pattern matching) başlayıp gerçek bir Transformer'ı sıfırdan eğitmeye kadar giden beş aşamayı, her aşamada çalışan gerçek kodla adım adım izletmek. Teknoloji yığını: sunucu tarafında Hono (JSX render + SSE akışı), geliştirme/derleme için Vite.</w:t>
      </w:r>
    </w:p>
    <w:p>
      <w:pPr>
        <w:pStyle w:val="Heading1"/>
        <w:spacing w:after="150" w:before="300"/>
      </w:pPr>
      <w:r>
        <w:t xml:space="preserve">2. Bölüm 1 — Basit Sohbet: Kalıp Eşleştirme</w:t>
      </w:r>
    </w:p>
    <w:p>
      <w:pPr>
        <w:spacing w:after="160"/>
      </w:pPr>
      <w:r>
        <w:t xml:space="preserve">En basit "yapay zekâ": if-else kurallarıyla yanıt üreten, ELIZA tarzı bir sohbet botu. Yanıt kelime kelime SSE (Server-Sent Events) ile akıtılıyor. Buradaki asıl mesaj, bu botun ChatGPT ile aynı "boru hattı" mekaniğini (kelime kelime akan yanıt) kullandığı ama arkasında hiçbir zekâ olmadığı — sadece önceden yazılmış kurallar olduğu. Referans: Weizenbaum (1966), ELIZA makalesi.</w:t>
      </w:r>
    </w:p>
    <w:p>
      <w:pPr>
        <w:pStyle w:val="Heading1"/>
        <w:spacing w:after="150" w:before="300"/>
      </w:pPr>
      <w:r>
        <w:t xml:space="preserve">3. Bölüm 2 — XOR Sinir Ağı: Geri Yayılım (Backpropagation)</w:t>
      </w:r>
    </w:p>
    <w:p>
      <w:pPr>
        <w:spacing w:after="160"/>
      </w:pPr>
      <w:r>
        <w:t xml:space="preserve">Bu bölümde canlı olarak bir sinir ağı eğitiliyor. Tek katmanlı bir algılayıcının (perceptron) XOR problemini çözemediği gösteriliyor — bu, Minsky ve Papert'ın ünlü 1969 eleştirisini doğruluyor. Buna karşılık çok katmanlı bir ağ, geri yayılım algoritmasıyla XOR'u başarıyla öğreniyor; bu algoritma bugün hâlâ tüm sinir ağlarının temel eğitim yöntemi. Referans: Rumelhart, Hinton &amp; Williams (1986).</w:t>
      </w:r>
    </w:p>
    <w:p>
      <w:pPr>
        <w:pStyle w:val="Heading1"/>
        <w:spacing w:after="150" w:before="300"/>
      </w:pPr>
      <w:r>
        <w:t xml:space="preserve">4. Bölüm 3 — Temel Tokenizer: Sıfırdan BPE</w:t>
      </w:r>
    </w:p>
    <w:p>
      <w:pPr>
        <w:spacing w:after="160"/>
      </w:pPr>
      <w:r>
        <w:t xml:space="preserve">Kullanıcının girdiği metin üzerinde eğitilen, sıfırdan yazılmış bir Byte Pair Encoding (BPE) uygulaması. Algoritmanın karakterlerden kelimelere doğru kelime dağarcığı inşa ederken attığı birleştirme (merge) adımları ekranda animasyonla izlenebiliyor. Referans: Sennrich, Haddow &amp; Birch (2016), "Neural Machine Translation of Rare Words with Subword Units" — bu makale BPE'yi tokenizasyona uyarlayan çalışma.</w:t>
      </w:r>
    </w:p>
    <w:p>
      <w:pPr>
        <w:pStyle w:val="Heading1"/>
        <w:spacing w:after="150" w:before="300"/>
      </w:pPr>
      <w:r>
        <w:t xml:space="preserve">5. Bölüm 4 — Gömme Eğitimi: Word2Vec Skip-Gram</w:t>
      </w:r>
    </w:p>
    <w:p>
      <w:pPr>
        <w:spacing w:after="160"/>
      </w:pPr>
      <w:r>
        <w:t xml:space="preserve">Kelime gömme (embedding) vektörleri, negatif örnekleme (negative sampling) kullanan Word2Vec skip-gram yöntemiyle sıfırdan eğitiliyor. Kullanıcı, benzer bağlamlarda geçen kelimelerin vektörlerinin eğitim sırasında birbirine nasıl yaklaştığını canlı olarak izleyebiliyor. Referanslar: Mikolov ve arkadaşları (2013a) — Word2Vec ve skip-gram mimarisinin tanıtımı; Mikolov ve arkadaşları (2013b) — skip-gram'ı pratikte uygulanabilir kılan negatif örnekleme tekniği.</w:t>
      </w:r>
    </w:p>
    <w:p>
      <w:pPr>
        <w:pStyle w:val="Heading1"/>
        <w:spacing w:after="150" w:before="300"/>
      </w:pPr>
      <w:r>
        <w:t xml:space="preserve">6. Bölüm 5 — Transformer Eğitimi: Sıfırdan GPT</w:t>
      </w:r>
    </w:p>
    <w:p>
      <w:pPr>
        <w:spacing w:after="160"/>
      </w:pPr>
      <w:r>
        <w:t xml:space="preserve">Projenin en kapsamlı bölümü. Hiçbir makine öğrenmesi kütüphanesi kullanılmadan, decoder-only bir Transformer sıfırdan eğitiliyor. Elle uygulanan bileşenler:</w:t>
      </w:r>
    </w:p>
    <w:p>
      <w:pPr>
        <w:pStyle w:val="ListParagraph"/>
        <w:numPr>
          <w:ilvl w:val="0"/>
          <w:numId w:val="2"/>
        </w:numPr>
        <w:spacing w:after="80"/>
      </w:pPr>
      <w:r>
        <w:t xml:space="preserve">Çok başlı nedensel (causal) self-attention</w:t>
      </w:r>
    </w:p>
    <w:p>
      <w:pPr>
        <w:pStyle w:val="ListParagraph"/>
        <w:numPr>
          <w:ilvl w:val="0"/>
          <w:numId w:val="2"/>
        </w:numPr>
        <w:spacing w:after="80"/>
      </w:pPr>
      <w:r>
        <w:t xml:space="preserve">Katman normalizasyonu (layer normalization)</w:t>
      </w:r>
    </w:p>
    <w:p>
      <w:pPr>
        <w:pStyle w:val="ListParagraph"/>
        <w:numPr>
          <w:ilvl w:val="0"/>
          <w:numId w:val="2"/>
        </w:numPr>
        <w:spacing w:after="80"/>
      </w:pPr>
      <w:r>
        <w:t xml:space="preserve">İleri beslemeli (feed-forward) katmanlar</w:t>
      </w:r>
    </w:p>
    <w:p>
      <w:pPr>
        <w:pStyle w:val="ListParagraph"/>
        <w:numPr>
          <w:ilvl w:val="0"/>
          <w:numId w:val="2"/>
        </w:numPr>
        <w:spacing w:after="80"/>
      </w:pPr>
      <w:r>
        <w:t xml:space="preserve">Geri yayılım (backpropagation)</w:t>
      </w:r>
    </w:p>
    <w:p>
      <w:pPr>
        <w:pStyle w:val="ListParagraph"/>
        <w:numPr>
          <w:ilvl w:val="0"/>
          <w:numId w:val="2"/>
        </w:numPr>
        <w:spacing w:after="80"/>
      </w:pPr>
      <w:r>
        <w:t xml:space="preserve">Adam optimizasyon algoritması</w:t>
      </w:r>
    </w:p>
    <w:p>
      <w:pPr>
        <w:spacing w:after="160"/>
      </w:pPr>
      <w:r>
        <w:t xml:space="preserve">Eğitim hızını artırmak için SharedArrayBuffer üzerinden çok iş parçacıklı (multi-threaded) veri paralelliği kullanılıyor. Bu bölümün dayandığı referanslar zinciri, alanın temel taşlarını takip ediyor: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c>
          <w:tcPr>
            <w:tcW w:type="dxa" w:w="1800"/>
            <w:shd w:fill="2F5496" w:val="clear"/>
          </w:tcPr>
          <w:p>
            <w:r>
              <w:rPr>
                <w:b/>
                <w:bCs/>
                <w:color w:val="FFFFFF"/>
              </w:rPr>
              <w:t xml:space="preserve">Konu</w:t>
            </w:r>
          </w:p>
        </w:tc>
        <w:tc>
          <w:tcPr>
            <w:tcW w:type="dxa" w:w="2600"/>
            <w:shd w:fill="2F5496" w:val="clear"/>
          </w:tcPr>
          <w:p>
            <w:r>
              <w:rPr>
                <w:b/>
                <w:bCs/>
                <w:color w:val="FFFFFF"/>
              </w:rPr>
              <w:t xml:space="preserve">Referans</w:t>
            </w:r>
          </w:p>
        </w:tc>
        <w:tc>
          <w:tcPr>
            <w:tcW w:type="dxa" w:w="4600"/>
            <w:shd w:fill="2F5496" w:val="clear"/>
          </w:tcPr>
          <w:p>
            <w:r>
              <w:rPr>
                <w:b/>
                <w:bCs/>
                <w:color w:val="FFFFFF"/>
              </w:rPr>
              <w:t xml:space="preserve">Katkısı</w:t>
            </w:r>
          </w:p>
        </w:tc>
      </w:tr>
      <w:tr>
        <w:tc>
          <w:tcPr>
            <w:tcW w:type="dxa" w:w="1800"/>
          </w:tcPr>
          <w:p>
            <w:r>
              <w:rPr>
                <w:b w:val="false"/>
                <w:bCs w:val="false"/>
              </w:rPr>
              <w:t xml:space="preserve">Ağırlık ilklendirme</w:t>
            </w:r>
          </w:p>
        </w:tc>
        <w:tc>
          <w:tcPr>
            <w:tcW w:type="dxa" w:w="2600"/>
          </w:tcPr>
          <w:p>
            <w:r>
              <w:rPr>
                <w:b w:val="false"/>
                <w:bCs w:val="false"/>
              </w:rPr>
              <w:t xml:space="preserve">Glorot &amp; Bengio (2010)</w:t>
            </w:r>
          </w:p>
        </w:tc>
        <w:tc>
          <w:tcPr>
            <w:tcW w:type="dxa" w:w="4600"/>
          </w:tcPr>
          <w:p>
            <w:r>
              <w:rPr>
                <w:b w:val="false"/>
                <w:bCs w:val="false"/>
              </w:rPr>
              <w:t xml:space="preserve">Xavier/Glorot ilklendirme — Transformer ağırlıklarının başlangıç değerlerini belirlemede kullanılıyor</w:t>
            </w:r>
          </w:p>
        </w:tc>
      </w:tr>
      <w:tr>
        <w:tc>
          <w:tcPr>
            <w:tcW w:type="dxa" w:w="1800"/>
          </w:tcPr>
          <w:p>
            <w:r>
              <w:rPr>
                <w:b w:val="false"/>
                <w:bCs w:val="false"/>
              </w:rPr>
              <w:t xml:space="preserve">Optimizasyon</w:t>
            </w:r>
          </w:p>
        </w:tc>
        <w:tc>
          <w:tcPr>
            <w:tcW w:type="dxa" w:w="2600"/>
          </w:tcPr>
          <w:p>
            <w:r>
              <w:rPr>
                <w:b w:val="false"/>
                <w:bCs w:val="false"/>
              </w:rPr>
              <w:t xml:space="preserve">Kingma &amp; Ba (2014)</w:t>
            </w:r>
          </w:p>
        </w:tc>
        <w:tc>
          <w:tcPr>
            <w:tcW w:type="dxa" w:w="4600"/>
          </w:tcPr>
          <w:p>
            <w:r>
              <w:rPr>
                <w:b w:val="false"/>
                <w:bCs w:val="false"/>
              </w:rPr>
              <w:t xml:space="preserve">Adam optimizer — modeli eğitmek için kullanılan algoritma</w:t>
            </w:r>
          </w:p>
        </w:tc>
      </w:tr>
      <w:tr>
        <w:tc>
          <w:tcPr>
            <w:tcW w:type="dxa" w:w="1800"/>
          </w:tcPr>
          <w:p>
            <w:r>
              <w:rPr>
                <w:b w:val="false"/>
                <w:bCs w:val="false"/>
              </w:rPr>
              <w:t xml:space="preserve">Tokenizasyon</w:t>
            </w:r>
          </w:p>
        </w:tc>
        <w:tc>
          <w:tcPr>
            <w:tcW w:type="dxa" w:w="2600"/>
          </w:tcPr>
          <w:p>
            <w:r>
              <w:rPr>
                <w:b w:val="false"/>
                <w:bCs w:val="false"/>
              </w:rPr>
              <w:t xml:space="preserve">Sennrich, Haddow &amp; Birch (2016)</w:t>
            </w:r>
          </w:p>
        </w:tc>
        <w:tc>
          <w:tcPr>
            <w:tcW w:type="dxa" w:w="4600"/>
          </w:tcPr>
          <w:p>
            <w:r>
              <w:rPr>
                <w:b w:val="false"/>
                <w:bCs w:val="false"/>
              </w:rPr>
              <w:t xml:space="preserve">BPE — 3, 4 ve 5. bölümlerde ortak kullanılan tokenizer</w:t>
            </w:r>
          </w:p>
        </w:tc>
      </w:tr>
      <w:tr>
        <w:tc>
          <w:tcPr>
            <w:tcW w:type="dxa" w:w="1800"/>
          </w:tcPr>
          <w:p>
            <w:r>
              <w:rPr>
                <w:b w:val="false"/>
                <w:bCs w:val="false"/>
              </w:rPr>
              <w:t xml:space="preserve">Normalizasyon</w:t>
            </w:r>
          </w:p>
        </w:tc>
        <w:tc>
          <w:tcPr>
            <w:tcW w:type="dxa" w:w="2600"/>
          </w:tcPr>
          <w:p>
            <w:r>
              <w:rPr>
                <w:b w:val="false"/>
                <w:bCs w:val="false"/>
              </w:rPr>
              <w:t xml:space="preserve">Ba, Kiros &amp; Hinton (2016)</w:t>
            </w:r>
          </w:p>
        </w:tc>
        <w:tc>
          <w:tcPr>
            <w:tcW w:type="dxa" w:w="4600"/>
          </w:tcPr>
          <w:p>
            <w:r>
              <w:rPr>
                <w:b w:val="false"/>
                <w:bCs w:val="false"/>
              </w:rPr>
              <w:t xml:space="preserve">Layer normalization — attention ve feed-forward katmanlarından önce uygulanıyor</w:t>
            </w:r>
          </w:p>
        </w:tc>
      </w:tr>
      <w:tr>
        <w:tc>
          <w:tcPr>
            <w:tcW w:type="dxa" w:w="1800"/>
          </w:tcPr>
          <w:p>
            <w:r>
              <w:rPr>
                <w:b w:val="false"/>
                <w:bCs w:val="false"/>
              </w:rPr>
              <w:t xml:space="preserve">Mimari</w:t>
            </w:r>
          </w:p>
        </w:tc>
        <w:tc>
          <w:tcPr>
            <w:tcW w:type="dxa" w:w="2600"/>
          </w:tcPr>
          <w:p>
            <w:r>
              <w:rPr>
                <w:b w:val="false"/>
                <w:bCs w:val="false"/>
              </w:rPr>
              <w:t xml:space="preserve">Vaswani ve ark. (2017)</w:t>
            </w:r>
          </w:p>
        </w:tc>
        <w:tc>
          <w:tcPr>
            <w:tcW w:type="dxa" w:w="4600"/>
          </w:tcPr>
          <w:p>
            <w:r>
              <w:rPr>
                <w:b w:val="false"/>
                <w:bCs w:val="false"/>
              </w:rPr>
              <w:t xml:space="preserve">"Attention Is All You Need" — sıfırdan uygulanan Transformer mimarisinin kendisi</w:t>
            </w:r>
          </w:p>
        </w:tc>
      </w:tr>
      <w:tr>
        <w:tc>
          <w:tcPr>
            <w:tcW w:type="dxa" w:w="1800"/>
          </w:tcPr>
          <w:p>
            <w:r>
              <w:rPr>
                <w:b w:val="false"/>
                <w:bCs w:val="false"/>
              </w:rPr>
              <w:t xml:space="preserve">Ön-eğitim yaklaşımı</w:t>
            </w:r>
          </w:p>
        </w:tc>
        <w:tc>
          <w:tcPr>
            <w:tcW w:type="dxa" w:w="2600"/>
          </w:tcPr>
          <w:p>
            <w:r>
              <w:rPr>
                <w:b w:val="false"/>
                <w:bCs w:val="false"/>
              </w:rPr>
              <w:t xml:space="preserve">Radford ve ark. (2018)</w:t>
            </w:r>
          </w:p>
        </w:tc>
        <w:tc>
          <w:tcPr>
            <w:tcW w:type="dxa" w:w="4600"/>
          </w:tcPr>
          <w:p>
            <w:r>
              <w:rPr>
                <w:b w:val="false"/>
                <w:bCs w:val="false"/>
              </w:rPr>
              <w:t xml:space="preserve">GPT-1 — izlenen decoder-only ön-eğitim yaklaşımı</w:t>
            </w:r>
          </w:p>
        </w:tc>
      </w:tr>
      <w:tr>
        <w:tc>
          <w:tcPr>
            <w:tcW w:type="dxa" w:w="1800"/>
          </w:tcPr>
          <w:p>
            <w:r>
              <w:rPr>
                <w:b w:val="false"/>
                <w:bCs w:val="false"/>
              </w:rPr>
              <w:t xml:space="preserve">Metin üretimi</w:t>
            </w:r>
          </w:p>
        </w:tc>
        <w:tc>
          <w:tcPr>
            <w:tcW w:type="dxa" w:w="2600"/>
          </w:tcPr>
          <w:p>
            <w:r>
              <w:rPr>
                <w:b w:val="false"/>
                <w:bCs w:val="false"/>
              </w:rPr>
              <w:t xml:space="preserve">Holtzman ve ark. (2019)</w:t>
            </w:r>
          </w:p>
        </w:tc>
        <w:tc>
          <w:tcPr>
            <w:tcW w:type="dxa" w:w="4600"/>
          </w:tcPr>
          <w:p>
            <w:r>
              <w:rPr>
                <w:b w:val="false"/>
                <w:bCs w:val="false"/>
              </w:rPr>
              <w:t xml:space="preserve">Nucleus (top-p) sampling — eğitim sonrası metin üretiminde kullanılan örnekleme yöntemi</w:t>
            </w:r>
          </w:p>
        </w:tc>
      </w:tr>
    </w:tbl>
    <w:p>
      <w:pPr>
        <w:pStyle w:val="Heading1"/>
        <w:spacing w:after="150" w:before="300"/>
      </w:pPr>
      <w:r>
        <w:t xml:space="preserve">7. Kod Mimarisi</w:t>
      </w:r>
    </w:p>
    <w:p>
      <w:pPr>
        <w:spacing w:after="160"/>
      </w:pPr>
      <w:r>
        <w:t xml:space="preserve">Reponun tüm bölümleri aynı üç katmanlı deseni izliyor: (1) src/routes/ altında, girdiyi işleyip SSE olayları akıtan bir Hono POST route'u; (2) src/client/hooks/ altında, SSE olaylarını useSSEChat aracılığıyla arayüz güncellemelerine bağlayan bir React hook'u; (3) src/client/components/ altında, akan veriyi görselleştiren bir sonuç bileşeni. Ortak altyapı: SSE akış katmanı (sunucu ve istemci tarafında ayrı ayrı), tüm bölümlerde paylaşılan BPE tokenizer, ve ortak mesaj tipleri.</w:t>
      </w:r>
    </w:p>
    <w:p>
      <w:pPr>
        <w:pStyle w:val="Heading1"/>
        <w:spacing w:after="150" w:before="300"/>
      </w:pPr>
      <w:r>
        <w:t xml:space="preserve">8. Genel Değerlendirme</w:t>
      </w:r>
    </w:p>
    <w:p>
      <w:pPr>
        <w:spacing w:after="160"/>
      </w:pPr>
      <w:r>
        <w:t xml:space="preserve">Hem video hem repo, LLM'lerin gelişimini tarihsel ve kavramsal bir çizgide sunuyor: kural tabanlı kalıp eşleştirmeden (ELIZA), öğrenmeyi mümkün kılan geri yayılıma (XOR), dilin sayısallaştırılmasına (BPE), anlamın vektörleştirilmesine (Word2Vec) ve son olarak bunların hepsinin birleştiği tam bir Transformer'ın sıfırdan eğitilmesine uzanıyor. Vurgulanan nokta, her aşamanın "kara kutu" olarak değil, çalışan ve izlenebilir gerçek kodla gösterilmesi — yani teorik anlatımın ötesinde, uygulamalı ve görselleştirilmiş bir öğretim yaklaşımı benimseniyor.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2026-08-06T15:23:43.056Z</dcterms:created>
  <dcterms:modified xsi:type="dcterms:W3CDTF">2026-08-06T15:23:43.071Z</dcterms:modified>
</cp:coreProperties>
</file>

<file path=docProps/custom.xml><?xml version="1.0" encoding="utf-8"?>
<Properties xmlns="http://schemas.openxmlformats.org/officeDocument/2006/custom-properties" xmlns:vt="http://schemas.openxmlformats.org/officeDocument/2006/docPropsVTypes"/>
</file>