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Transformer Mimarisi — Özet ve İnceleme</w:t>
      </w:r>
    </w:p>
    <w:p>
      <w:pPr>
        <w:spacing w:after="300"/>
      </w:pPr>
      <w:r>
        <w:t xml:space="preserve">Kaynak: Mayank Pratap Singh, "The Transformers", Vizuara AI Labs Newsletter (17 Mart 2026). Bağlantı: https://www.vizuaranewsletter.com/p/the-transformers</w:t>
      </w:r>
    </w:p>
    <w:p>
      <w:pPr>
        <w:pStyle w:val="Heading1"/>
        <w:spacing w:after="150" w:before="300"/>
      </w:pPr>
      <w:r>
        <w:t xml:space="preserve">1. Giriş: Büyük Dil Modelleri Ne Yapar?</w:t>
      </w:r>
    </w:p>
    <w:p>
      <w:pPr>
        <w:spacing w:after="160"/>
      </w:pPr>
      <w:r>
        <w:t xml:space="preserve">Yazı, büyük dil modellerinin (LLM) aslında tek bir basit görevi yerine getirdiğini vurgulayarak başlıyor: bir kelime dizisi verildiğinde bir sonraki en olası kelimeyi tahmin etmek. Model bu tahmini yaptıktan sonra ürettiği kelimeyi girdiye ekliyor ve aynı süreci tekrarlayarak paragraflar üretiyor (autoregressive üretim). Yazar, OpenAI modeliyle yaptığı bir örnekle bunu somutlaştırıyor: "After years of hard work, your effort will take you" cümlesinin devamında model, "to" kelimesine yaklaşık %90,7 olasılık veriyor; diğer adaylar ise gittikçe azalan olasılıklarla sıralanıyor. Buradaki temel fikir, LLM'lerin tek bir 'doğru' cevap üretmek yerine olası tüm kelimelere bir olasılık dağılımı atayan istatistiksel motorlar olduğu.</w:t>
      </w:r>
    </w:p>
    <w:p>
      <w:pPr>
        <w:pStyle w:val="Heading2"/>
        <w:spacing w:after="120" w:before="240"/>
      </w:pPr>
      <w:r>
        <w:t xml:space="preserve">Neden "Büyük"?</w:t>
      </w:r>
    </w:p>
    <w:p>
      <w:pPr>
        <w:spacing w:after="160"/>
      </w:pPr>
      <w:r>
        <w:t xml:space="preserve">Modelin boyutu (parametre sayısı) arttıkça performansın öngörülebilir biçimde iyileştiği belirtiliyor (ölçekleme yasaları / scaling laws). Bu konudaki referans nokta GPT-3 makalesi ("Language Models are Few-Shot Learners"): parametre sayısı 1,3 milyardan 13 milyara, oradan 175 milyara çıkarıldığında performansın belirgin biçimde arttığı gösterilmiş. Ayrıca bazı yeteneklerin (aritmetik işlem yapma, diller arası çeviri, harfleri anlamlı kelimelere dönüştürme gibi) küçük modellerde neredeyse hiç bulunmadığı, ancak model belirli bir büyüklük eşiğini geçtiğinde aniden ortaya çıktığı anlatılıyor — buna "ortaya çıkan yetenekler" (emergent abilities) deniyor. Yani model boyutu sadece teknik bir ayrıntı değil, modelin hangi görevleri yapabileceğini belirleyen kritik bir etken.</w:t>
      </w:r>
    </w:p>
    <w:p>
      <w:pPr>
        <w:pStyle w:val="Heading1"/>
        <w:spacing w:after="150" w:before="300"/>
      </w:pPr>
      <w:r>
        <w:t xml:space="preserve">2. Transformer Bloğuna Genel Bakış</w:t>
      </w:r>
    </w:p>
    <w:p>
      <w:pPr>
        <w:spacing w:after="160"/>
      </w:pPr>
      <w:r>
        <w:t xml:space="preserve">2017 tarihli "Attention Is All You Need" makalesiyle tanıtılan Transformer mimarisi, kendi kendine dikkat (self-attention) kavramını ortaya atarak NLP alanını kökten değiştirmiş (makale bugün 200.000'den fazla atıf almış). Mimari iki ana bileşenden oluşuyor: kodlayıcı (encoder) ve kod çözücü (decoder). BERT gibi modeller encoder tabanlı, GPT/ChatGPT gibi modeller ise decoder tabanlı. Yazı, GPT'nin decoder-only mimarisine odaklanıyor ve süreci üç ana aşamaya ayırıyor:</w:t>
      </w:r>
    </w:p>
    <w:p>
      <w:pPr>
        <w:pStyle w:val="ListParagraph"/>
        <w:numPr>
          <w:ilvl w:val="0"/>
          <w:numId w:val="2"/>
        </w:numPr>
        <w:spacing w:after="80"/>
      </w:pPr>
      <w:r>
        <w:t xml:space="preserve">Girdi (Input): Ham metnin token'lara ayrılması, token gömme (embedding) ve pozisyonel gömme ile sayısal temsile dönüştürülmesi.</w:t>
      </w:r>
    </w:p>
    <w:p>
      <w:pPr>
        <w:pStyle w:val="ListParagraph"/>
        <w:numPr>
          <w:ilvl w:val="0"/>
          <w:numId w:val="2"/>
        </w:numPr>
        <w:spacing w:after="80"/>
      </w:pPr>
      <w:r>
        <w:t xml:space="preserve">İşleme (Processing): Çok-başlı dikkat (multi-head attention), katman normalizasyonu (layer normalization), ileri beslemeli ağlar (feed-forward network) ve dropout içeren Transformer bloklarının art arda uygulanması.</w:t>
      </w:r>
    </w:p>
    <w:p>
      <w:pPr>
        <w:pStyle w:val="ListParagraph"/>
        <w:numPr>
          <w:ilvl w:val="0"/>
          <w:numId w:val="2"/>
        </w:numPr>
        <w:spacing w:after="80"/>
      </w:pPr>
      <w:r>
        <w:t xml:space="preserve">Çıktı (Output): Doğrusal katman ve softmax ile bir sonraki token için olasılık dağılımının üretilmesi.</w:t>
      </w:r>
    </w:p>
    <w:p>
      <w:pPr>
        <w:pStyle w:val="Heading1"/>
        <w:spacing w:after="150" w:before="300"/>
      </w:pPr>
      <w:r>
        <w:t xml:space="preserve">3. Token'laştırma (Tokenization)</w:t>
      </w:r>
    </w:p>
    <w:p>
      <w:pPr>
        <w:spacing w:after="160"/>
      </w:pPr>
      <w:r>
        <w:t xml:space="preserve">Metnin modele verilmeden önce token adı verilen birimlere ayrılıp benzersiz ID'lere eşlenmesi gerekiyor. Yazı üç yaklaşımı karşılaştırıyor: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c>
          <w:tcPr>
            <w:tcW w:type="dxa" w:w="2600"/>
            <w:shd w:fill="2F5496" w:val="clear"/>
          </w:tcPr>
          <w:p>
            <w:r>
              <w:rPr>
                <w:b/>
                <w:bCs/>
                <w:color w:val="FFFFFF"/>
              </w:rPr>
              <w:t xml:space="preserve">Yöntem</w:t>
            </w:r>
          </w:p>
        </w:tc>
        <w:tc>
          <w:tcPr>
            <w:tcW w:type="dxa" w:w="3300"/>
            <w:shd w:fill="2F5496" w:val="clear"/>
          </w:tcPr>
          <w:p>
            <w:r>
              <w:rPr>
                <w:b/>
                <w:bCs/>
                <w:color w:val="FFFFFF"/>
              </w:rPr>
              <w:t xml:space="preserve">Avantajı</w:t>
            </w:r>
          </w:p>
        </w:tc>
        <w:tc>
          <w:tcPr>
            <w:tcW w:type="dxa" w:w="3600"/>
            <w:shd w:fill="2F5496" w:val="clear"/>
          </w:tcPr>
          <w:p>
            <w:r>
              <w:rPr>
                <w:b/>
                <w:bCs/>
                <w:color w:val="FFFFFF"/>
              </w:rPr>
              <w:t xml:space="preserve">Sorunu</w:t>
            </w:r>
          </w:p>
        </w:tc>
      </w:tr>
      <w:tr>
        <w:tc>
          <w:tcPr>
            <w:tcW w:type="dxa" w:w="2600"/>
          </w:tcPr>
          <w:p>
            <w:r>
              <w:rPr>
                <w:b w:val="false"/>
                <w:bCs w:val="false"/>
              </w:rPr>
              <w:t xml:space="preserve">Kelime bazlı</w:t>
            </w:r>
          </w:p>
        </w:tc>
        <w:tc>
          <w:tcPr>
            <w:tcW w:type="dxa" w:w="3300"/>
          </w:tcPr>
          <w:p>
            <w:r>
              <w:rPr>
                <w:b w:val="false"/>
                <w:bCs w:val="false"/>
              </w:rPr>
              <w:t xml:space="preserve">Sezgisel, anlaşılır</w:t>
            </w:r>
          </w:p>
        </w:tc>
        <w:tc>
          <w:tcPr>
            <w:tcW w:type="dxa" w:w="3600"/>
          </w:tcPr>
          <w:p>
            <w:r>
              <w:rPr>
                <w:b w:val="false"/>
                <w:bCs w:val="false"/>
              </w:rPr>
              <w:t xml:space="preserve">Devasa kelime dağarcığı (İngilizce'de 200.000+ token); sözlük dışı (OOV) kelimeleri ve yazım hatalarını işleyemiyor; "learn/learning/learned" gibi bağlantılı kelimeler bağımsız token'lar olarak öğreniliyor</w:t>
            </w:r>
          </w:p>
        </w:tc>
      </w:tr>
      <w:tr>
        <w:tc>
          <w:tcPr>
            <w:tcW w:type="dxa" w:w="2600"/>
          </w:tcPr>
          <w:p>
            <w:r>
              <w:rPr>
                <w:b w:val="false"/>
                <w:bCs w:val="false"/>
              </w:rPr>
              <w:t xml:space="preserve">Karakter bazlı</w:t>
            </w:r>
          </w:p>
        </w:tc>
        <w:tc>
          <w:tcPr>
            <w:tcW w:type="dxa" w:w="3300"/>
          </w:tcPr>
          <w:p>
            <w:r>
              <w:rPr>
                <w:b w:val="false"/>
                <w:bCs w:val="false"/>
              </w:rPr>
              <w:t xml:space="preserve">Çok küçük kelime dağarcığı (256 ASCII karakter)</w:t>
            </w:r>
          </w:p>
        </w:tc>
        <w:tc>
          <w:tcPr>
            <w:tcW w:type="dxa" w:w="3600"/>
          </w:tcPr>
          <w:p>
            <w:r>
              <w:rPr>
                <w:b w:val="false"/>
                <w:bCs w:val="false"/>
              </w:rPr>
              <w:t xml:space="preserve">Dizi uzunluğu patlıyor (örn. "Hello, world!" 13 karaktere çıkıyor); tek harfler anlam taşımadığı için model kelime yapısını sıfırdan öğrenmek zorunda kalıyor</w:t>
            </w:r>
          </w:p>
        </w:tc>
      </w:tr>
      <w:tr>
        <w:tc>
          <w:tcPr>
            <w:tcW w:type="dxa" w:w="2600"/>
          </w:tcPr>
          <w:p>
            <w:r>
              <w:rPr>
                <w:b w:val="false"/>
                <w:bCs w:val="false"/>
              </w:rPr>
              <w:t xml:space="preserve">Alt-kelime (subword) bazlı</w:t>
            </w:r>
          </w:p>
        </w:tc>
        <w:tc>
          <w:tcPr>
            <w:tcW w:type="dxa" w:w="3300"/>
          </w:tcPr>
          <w:p>
            <w:r>
              <w:rPr>
                <w:b w:val="false"/>
                <w:bCs w:val="false"/>
              </w:rPr>
              <w:t xml:space="preserve">Makul kelime dağarcığı + anlam korunuyor; "modernization" → "modern"+"ization" gibi tekrar kullanılabilir parçalar sayesinde bilinmeyen kelimeler de işlenebiliyor</w:t>
            </w:r>
          </w:p>
        </w:tc>
        <w:tc>
          <w:tcPr>
            <w:tcW w:type="dxa" w:w="3600"/>
          </w:tcPr>
          <w:p>
            <w:r>
              <w:rPr>
                <w:b w:val="false"/>
                <w:bCs w:val="false"/>
              </w:rPr>
              <w:t xml:space="preserve">Hangi bölünmenin "doğru" olduğuna karar vermek gerekiyor — bu sorunu Byte Pair Encoding (BPE) çözüyor</w:t>
            </w:r>
          </w:p>
        </w:tc>
      </w:tr>
    </w:tbl>
    <w:p>
      <w:pPr>
        <w:pStyle w:val="Heading1"/>
        <w:spacing w:after="150" w:before="300"/>
      </w:pPr>
      <w:r>
        <w:t xml:space="preserve">4. Byte Pair Encoding (BPE)</w:t>
      </w:r>
    </w:p>
    <w:p>
      <w:pPr>
        <w:spacing w:after="160"/>
      </w:pPr>
      <w:r>
        <w:t xml:space="preserve">BPE, aslında 1990'lardan kalma bir metin sıkıştırma algoritması olup GPT gibi modellerde kelime dağarcığı oluşturmak için kullanılıyor. Sık geçen karakter çiftlerini aşamalı olarak birleştirerek alttan yukarıya bir kelime dağarcığı inşa ediyor. Yazıdaki örnek (old, older, finest, lowest kelimeleri) üzerinden adımlar şöyle özetlenebilir: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4000"/>
      </w:tblGrid>
      <w:tr>
        <w:tc>
          <w:tcPr>
            <w:tcW w:type="dxa" w:w="1000"/>
            <w:shd w:fill="2F5496" w:val="clear"/>
          </w:tcPr>
          <w:p>
            <w:r>
              <w:rPr>
                <w:b/>
                <w:bCs/>
                <w:color w:val="FFFFFF"/>
              </w:rPr>
              <w:t xml:space="preserve">Adım</w:t>
            </w:r>
          </w:p>
        </w:tc>
        <w:tc>
          <w:tcPr>
            <w:tcW w:type="dxa" w:w="4500"/>
            <w:shd w:fill="2F5496" w:val="clear"/>
          </w:tcPr>
          <w:p>
            <w:r>
              <w:rPr>
                <w:b/>
                <w:bCs/>
                <w:color w:val="FFFFFF"/>
              </w:rPr>
              <w:t xml:space="preserve">Ne yapılıyor</w:t>
            </w:r>
          </w:p>
        </w:tc>
        <w:tc>
          <w:tcPr>
            <w:tcW w:type="dxa" w:w="4000"/>
            <w:shd w:fill="2F5496" w:val="clear"/>
          </w:tcPr>
          <w:p>
            <w:r>
              <w:rPr>
                <w:b/>
                <w:bCs/>
                <w:color w:val="FFFFFF"/>
              </w:rPr>
              <w:t xml:space="preserve">Örnek</w:t>
            </w:r>
          </w:p>
        </w:tc>
      </w:tr>
      <w:tr>
        <w:tc>
          <w:tcPr>
            <w:tcW w:type="dxa" w:w="1000"/>
          </w:tcPr>
          <w:p>
            <w:r>
              <w:rPr>
                <w:b w:val="false"/>
                <w:bCs w:val="false"/>
              </w:rPr>
              <w:t xml:space="preserve">1</w:t>
            </w:r>
          </w:p>
        </w:tc>
        <w:tc>
          <w:tcPr>
            <w:tcW w:type="dxa" w:w="4500"/>
          </w:tcPr>
          <w:p>
            <w:r>
              <w:rPr>
                <w:b w:val="false"/>
                <w:bCs w:val="false"/>
              </w:rPr>
              <w:t xml:space="preserve">Kelime sonu işareti eklenir (&lt;/w&gt;)</w:t>
            </w:r>
          </w:p>
        </w:tc>
        <w:tc>
          <w:tcPr>
            <w:tcW w:type="dxa" w:w="4000"/>
          </w:tcPr>
          <w:p>
            <w:r>
              <w:rPr>
                <w:b w:val="false"/>
                <w:bCs w:val="false"/>
              </w:rPr>
              <w:t xml:space="preserve">"old" → "old&lt;/w&gt;"</w:t>
            </w:r>
          </w:p>
        </w:tc>
      </w:tr>
      <w:tr>
        <w:tc>
          <w:tcPr>
            <w:tcW w:type="dxa" w:w="1000"/>
          </w:tcPr>
          <w:p>
            <w:r>
              <w:rPr>
                <w:b w:val="false"/>
                <w:bCs w:val="false"/>
              </w:rPr>
              <w:t xml:space="preserve">2</w:t>
            </w:r>
          </w:p>
        </w:tc>
        <w:tc>
          <w:tcPr>
            <w:tcW w:type="dxa" w:w="4500"/>
          </w:tcPr>
          <w:p>
            <w:r>
              <w:rPr>
                <w:b w:val="false"/>
                <w:bCs w:val="false"/>
              </w:rPr>
              <w:t xml:space="preserve">Her kelime karakterlere ayrılır</w:t>
            </w:r>
          </w:p>
        </w:tc>
        <w:tc>
          <w:tcPr>
            <w:tcW w:type="dxa" w:w="4000"/>
          </w:tcPr>
          <w:p>
            <w:r>
              <w:rPr>
                <w:b w:val="false"/>
                <w:bCs w:val="false"/>
              </w:rPr>
              <w:t xml:space="preserve">"old&lt;/w&gt;" → [o, l, d, &lt;/w&gt;]</w:t>
            </w:r>
          </w:p>
        </w:tc>
      </w:tr>
      <w:tr>
        <w:tc>
          <w:tcPr>
            <w:tcW w:type="dxa" w:w="1000"/>
          </w:tcPr>
          <w:p>
            <w:r>
              <w:rPr>
                <w:b w:val="false"/>
                <w:bCs w:val="false"/>
              </w:rPr>
              <w:t xml:space="preserve">3</w:t>
            </w:r>
          </w:p>
        </w:tc>
        <w:tc>
          <w:tcPr>
            <w:tcW w:type="dxa" w:w="4500"/>
          </w:tcPr>
          <w:p>
            <w:r>
              <w:rPr>
                <w:b w:val="false"/>
                <w:bCs w:val="false"/>
              </w:rPr>
              <w:t xml:space="preserve">En sık geçen bitişik karakter çifti sayılır ve birleştirilir</w:t>
            </w:r>
          </w:p>
        </w:tc>
        <w:tc>
          <w:tcPr>
            <w:tcW w:type="dxa" w:w="4000"/>
          </w:tcPr>
          <w:p>
            <w:r>
              <w:rPr>
                <w:b w:val="false"/>
                <w:bCs w:val="false"/>
              </w:rPr>
              <w:t xml:space="preserve">"es" 13 kez geçiyor → yeni token "es" oluşur</w:t>
            </w:r>
          </w:p>
        </w:tc>
      </w:tr>
      <w:tr>
        <w:tc>
          <w:tcPr>
            <w:tcW w:type="dxa" w:w="1000"/>
          </w:tcPr>
          <w:p>
            <w:r>
              <w:rPr>
                <w:b w:val="false"/>
                <w:bCs w:val="false"/>
              </w:rPr>
              <w:t xml:space="preserve">4</w:t>
            </w:r>
          </w:p>
        </w:tc>
        <w:tc>
          <w:tcPr>
            <w:tcW w:type="dxa" w:w="4500"/>
          </w:tcPr>
          <w:p>
            <w:r>
              <w:rPr>
                <w:b w:val="false"/>
                <w:bCs w:val="false"/>
              </w:rPr>
              <w:t xml:space="preserve">Sayım tekrarlanır, yeni en sık çift birleştirilir</w:t>
            </w:r>
          </w:p>
        </w:tc>
        <w:tc>
          <w:tcPr>
            <w:tcW w:type="dxa" w:w="4000"/>
          </w:tcPr>
          <w:p>
            <w:r>
              <w:rPr>
                <w:b w:val="false"/>
                <w:bCs w:val="false"/>
              </w:rPr>
              <w:t xml:space="preserve">"est" ortaya çıkar ("es"+"t")</w:t>
            </w:r>
          </w:p>
        </w:tc>
      </w:tr>
      <w:tr>
        <w:tc>
          <w:tcPr>
            <w:tcW w:type="dxa" w:w="1000"/>
          </w:tcPr>
          <w:p>
            <w:r>
              <w:rPr>
                <w:b w:val="false"/>
                <w:bCs w:val="false"/>
              </w:rPr>
              <w:t xml:space="preserve">...</w:t>
            </w:r>
          </w:p>
        </w:tc>
        <w:tc>
          <w:tcPr>
            <w:tcW w:type="dxa" w:w="4500"/>
          </w:tcPr>
          <w:p>
            <w:r>
              <w:rPr>
                <w:b w:val="false"/>
                <w:bCs w:val="false"/>
              </w:rPr>
              <w:t xml:space="preserve">Süreç, önceden belirlenen birleştirme sayısına ulaşana kadar tekrarlanır</w:t>
            </w:r>
          </w:p>
        </w:tc>
        <w:tc>
          <w:tcPr>
            <w:tcW w:type="dxa" w:w="4000"/>
          </w:tcPr>
          <w:p>
            <w:r>
              <w:rPr>
                <w:b w:val="false"/>
                <w:bCs w:val="false"/>
              </w:rPr>
              <w:t xml:space="preserve">GPT-2: 50.000 birleştirme → 50.257 token'lık sözlük</w:t>
            </w:r>
          </w:p>
        </w:tc>
      </w:tr>
    </w:tbl>
    <w:p>
      <w:pPr>
        <w:spacing w:after="160"/>
      </w:pPr>
      <w:r>
        <w:t xml:space="preserve">Sonuçta ortaya, hem tek karakterleri hem sık geçen alt-kelimeleri hem de tam kelimeleri barındıran katmanlı bir kelime dağarcığı çıkıyor. Model daha önce görmediği bir kelimeyle karşılaştığında, onu bildiği alt-kelime parçalarına bölerek işleyebiliyor; bu da BPE'yi yazım hatalarına ve yeni terimlere karşı dayanıklı kılıyor.</w:t>
      </w:r>
    </w:p>
    <w:p>
      <w:pPr>
        <w:pStyle w:val="Heading1"/>
        <w:spacing w:after="150" w:before="300"/>
      </w:pPr>
      <w:r>
        <w:t xml:space="preserve">5. Kelime Gömme (Word Embedding)</w:t>
      </w:r>
    </w:p>
    <w:p>
      <w:pPr>
        <w:spacing w:after="160"/>
      </w:pPr>
      <w:r>
        <w:t xml:space="preserve">Token ID'leri tek başına anlam taşımıyor ("Building" kelimesinin ID'si 25954 olması, modele binalar hakkında hiçbir şey söylemiyor). One-hot encoding gibi basit yöntemler her kelimeyi eş uzaklıkta, birbiriyle ilişkisiz vektörler olarak temsil ettiği için anlamsal bir sinyal taşımıyor; bag-of-words modelleri ise kelime sırasını tamamen kaybediyor ("dog bites man" ile "man bites dog" aynı temsile sahip oluyor).</w:t>
      </w:r>
    </w:p>
    <w:p>
      <w:pPr>
        <w:spacing w:after="160"/>
      </w:pPr>
      <w:r>
        <w:t xml:space="preserve">Çözüm, dağılımsal hipotez (distributional hypothesis): benzer bağlamlarda geçen kelimelerin anlamca da benzer olduğu fikri. Word2Vec bu fikri, kelimeleri bağlamdan (CBOW) veya bağlamı kelimeden (Skip-gram) tahmin etmeye çalışan sinir ağlarıyla hayata geçiriyor; eğitim sonunda "king - man + woman ≈ queen" gibi vektörel ilişkiler ortaya çıkıyor. Modern LLM'lerdeki gömme vektörleri ise statik değil bağlamsal: "bank" kelimesi "river bank" ve "investment bank" ifadelerinde farklı vektörlerle temsil edilebiliyor.</w:t>
      </w:r>
    </w:p>
    <w:p>
      <w:pPr>
        <w:pStyle w:val="Heading2"/>
        <w:spacing w:after="120" w:before="240"/>
      </w:pPr>
      <w:r>
        <w:t xml:space="preserve">Pozisyonel Kodlama</w:t>
      </w:r>
    </w:p>
    <w:p>
      <w:pPr>
        <w:spacing w:after="160"/>
      </w:pPr>
      <w:r>
        <w:t xml:space="preserve">Self-attention girdiyi sırasız bir küme gibi işlediği için kelime sırasını ayrıca kodlamak gerekiyor. Yazı üç yaklaşımı karşılaştırıyor: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0"/>
      </w:tblGrid>
      <w:tr>
        <w:tc>
          <w:tcPr>
            <w:tcW w:type="dxa" w:w="2200"/>
            <w:shd w:fill="2F5496" w:val="clear"/>
          </w:tcPr>
          <w:p>
            <w:r>
              <w:rPr>
                <w:b/>
                <w:bCs/>
                <w:color w:val="FFFFFF"/>
              </w:rPr>
              <w:t xml:space="preserve">Yöntem</w:t>
            </w:r>
          </w:p>
        </w:tc>
        <w:tc>
          <w:tcPr>
            <w:tcW w:type="dxa" w:w="4000"/>
            <w:shd w:fill="2F5496" w:val="clear"/>
          </w:tcPr>
          <w:p>
            <w:r>
              <w:rPr>
                <w:b/>
                <w:bCs/>
                <w:color w:val="FFFFFF"/>
              </w:rPr>
              <w:t xml:space="preserve">Fikir</w:t>
            </w:r>
          </w:p>
        </w:tc>
        <w:tc>
          <w:tcPr>
            <w:tcW w:type="dxa" w:w="3300"/>
            <w:shd w:fill="2F5496" w:val="clear"/>
          </w:tcPr>
          <w:p>
            <w:r>
              <w:rPr>
                <w:b/>
                <w:bCs/>
                <w:color w:val="FFFFFF"/>
              </w:rPr>
              <w:t xml:space="preserve">Sorun</w:t>
            </w:r>
          </w:p>
        </w:tc>
      </w:tr>
      <w:tr>
        <w:tc>
          <w:tcPr>
            <w:tcW w:type="dxa" w:w="2200"/>
          </w:tcPr>
          <w:p>
            <w:r>
              <w:rPr>
                <w:b w:val="false"/>
                <w:bCs w:val="false"/>
              </w:rPr>
              <w:t xml:space="preserve">Tam sayı kodlama</w:t>
            </w:r>
          </w:p>
        </w:tc>
        <w:tc>
          <w:tcPr>
            <w:tcW w:type="dxa" w:w="4000"/>
          </w:tcPr>
          <w:p>
            <w:r>
              <w:rPr>
                <w:b w:val="false"/>
                <w:bCs w:val="false"/>
              </w:rPr>
              <w:t xml:space="preserve">Her pozisyona doğrudan pozisyon numarası (örn. 300) atanır</w:t>
            </w:r>
          </w:p>
        </w:tc>
        <w:tc>
          <w:tcPr>
            <w:tcW w:type="dxa" w:w="3300"/>
          </w:tcPr>
          <w:p>
            <w:r>
              <w:rPr>
                <w:b w:val="false"/>
                <w:bCs w:val="false"/>
              </w:rPr>
              <w:t xml:space="preserve">Ölçek uyumsuzluğu: büyük pozisyon değerleri, küçük gömme değerlerini bastırır</w:t>
            </w:r>
          </w:p>
        </w:tc>
      </w:tr>
      <w:tr>
        <w:tc>
          <w:tcPr>
            <w:tcW w:type="dxa" w:w="2200"/>
          </w:tcPr>
          <w:p>
            <w:r>
              <w:rPr>
                <w:b w:val="false"/>
                <w:bCs w:val="false"/>
              </w:rPr>
              <w:t xml:space="preserve">İkili (binary) kodlama</w:t>
            </w:r>
          </w:p>
        </w:tc>
        <w:tc>
          <w:tcPr>
            <w:tcW w:type="dxa" w:w="4000"/>
          </w:tcPr>
          <w:p>
            <w:r>
              <w:rPr>
                <w:b w:val="false"/>
                <w:bCs w:val="false"/>
              </w:rPr>
              <w:t xml:space="preserve">Pozisyon, 0-1 arası ikili basamaklarla temsil edilir</w:t>
            </w:r>
          </w:p>
        </w:tc>
        <w:tc>
          <w:tcPr>
            <w:tcW w:type="dxa" w:w="3300"/>
          </w:tcPr>
          <w:p>
            <w:r>
              <w:rPr>
                <w:b w:val="false"/>
                <w:bCs w:val="false"/>
              </w:rPr>
              <w:t xml:space="preserve">Süreksizlik: bitlerin ani sıçraması, gradyan tabanlı öğrenmeyi zorlaştırır</w:t>
            </w:r>
          </w:p>
        </w:tc>
      </w:tr>
      <w:tr>
        <w:tc>
          <w:tcPr>
            <w:tcW w:type="dxa" w:w="2200"/>
          </w:tcPr>
          <w:p>
            <w:r>
              <w:rPr>
                <w:b w:val="false"/>
                <w:bCs w:val="false"/>
              </w:rPr>
              <w:t xml:space="preserve">Sinüzoidal kodlama</w:t>
            </w:r>
          </w:p>
        </w:tc>
        <w:tc>
          <w:tcPr>
            <w:tcW w:type="dxa" w:w="4000"/>
          </w:tcPr>
          <w:p>
            <w:r>
              <w:rPr>
                <w:b w:val="false"/>
                <w:bCs w:val="false"/>
              </w:rPr>
              <w:t xml:space="preserve">Farklı boyutlarda farklı frekanslarda sin/cos fonksiyonları kullanılır (Attention Is All You Need)</w:t>
            </w:r>
          </w:p>
        </w:tc>
        <w:tc>
          <w:tcPr>
            <w:tcW w:type="dxa" w:w="3300"/>
          </w:tcPr>
          <w:p>
            <w:r>
              <w:rPr>
                <w:b w:val="false"/>
                <w:bCs w:val="false"/>
              </w:rPr>
              <w:t xml:space="preserve">Sürekli, sınırlı (-1,1) ve öğrenilecek parametre gerektirmiyor — bu nedenle tercih ediliyor</w:t>
            </w:r>
          </w:p>
        </w:tc>
      </w:tr>
    </w:tbl>
    <w:p>
      <w:pPr>
        <w:pStyle w:val="Heading1"/>
        <w:spacing w:after="150" w:before="300"/>
      </w:pPr>
      <w:r>
        <w:t xml:space="preserve">6. Dikkat Mekanizmasına Neden İhtiyaç Var?</w:t>
      </w:r>
    </w:p>
    <w:p>
      <w:pPr>
        <w:spacing w:after="160"/>
      </w:pPr>
      <w:r>
        <w:t xml:space="preserve">Klasik RNN'lerde kodlayıcı, tüm girdi cümlesini tek bir sabit boyutlu gizli duruma (hidden state) sıkıştırıyor; cümle uzadıkça erken bilgiler bu "bağlam darboğazı"nda kayboluyor. LSTM'ler hücre durumu (cell state) ve kapılarla bu sorunu bir miktar hafifletse de temelde aynı sınırlamayı taşıyor. Bahdanau dikkat mekanizması, kod çözücüye kodlayıcının tüm gizli durumlarına doğrudan erişim vererek bu darboğazı ortadan kaldırıyor: her adımda kod çözücü durumu ile tüm kodlayıcı durumları karşılaştırılıyor, softmax ile ağırlıklara çevriliyor ve ağırlıklı toplamla bir bağlam vektörü oluşturuluyor. Bu, farklı dillerdeki kelime sırası farklarını (örn. sıfatın cümledeki yerinin değişmesi) hizalayabiliyor.</w:t>
      </w:r>
    </w:p>
    <w:p>
      <w:pPr>
        <w:pStyle w:val="Heading1"/>
        <w:spacing w:after="150" w:before="300"/>
      </w:pPr>
      <w:r>
        <w:t xml:space="preserve">7. Self-Attention (Kendine Dikkat) Mekanizması</w:t>
      </w:r>
    </w:p>
    <w:p>
      <w:pPr>
        <w:spacing w:after="160"/>
      </w:pPr>
      <w:r>
        <w:t xml:space="preserve">Cross-attention iki farklı dizi arasında çalışırken (örn. çeviri), self-attention tek bir dizinin kendi içindeki kelimeler arasında çalışıyor — her kelime aynı cümledeki diğer tüm kelimelere "bakıyor". Amaç, statik girdi gömmelerini (her zaman aynı vektör) bağlama duyarlı vektörlere (context vector) dönüştürmek. Örneğin "The dog chased the ball but it could not catch it" cümlesindeki iki "it" kelimesi, self-attention sayesinde farklı referanslara (top ve köpek) bağlanabiliyor.</w:t>
      </w:r>
    </w:p>
    <w:p>
      <w:pPr>
        <w:pStyle w:val="Heading2"/>
        <w:spacing w:after="120" w:before="240"/>
      </w:pPr>
      <w:r>
        <w:t xml:space="preserve">Query, Key, Value (Q, K, V)</w:t>
      </w:r>
    </w:p>
    <w:p>
      <w:pPr>
        <w:spacing w:after="160"/>
      </w:pPr>
      <w:r>
        <w:t xml:space="preserve">Bu dönüşüm, eğitilebilir üç ağırlık matrisiyle yapılıyor: Query (Q) matrisi "soru soran", Key (K) matrisi "bu sorunun kendisiyle ne kadar alakalı olduğunu bildiren", Value (V) matrisi ise "asıl aktarılacak bilgiyi taşıyan" vektörleri üretiyor. Bu üç matris, girdi gömme matrisi ile ayrı ayrı çarpılarak elde ediliyor. Boyutlar terminolojisi: d_in girdi gömme boyutu (örnekte 8), d_out ise Q/K/V vektörlerinin boyutu (örnekte 4) — bu ikinci değer tamamen tasarım tercihi.</w:t>
      </w:r>
    </w:p>
    <w:p>
      <w:pPr>
        <w:pStyle w:val="Heading2"/>
        <w:spacing w:after="120" w:before="240"/>
      </w:pPr>
      <w:r>
        <w:t xml:space="preserve">Attention Skorlarının Hesaplanması — Adım Adım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300"/>
      </w:tblGrid>
      <w:tr>
        <w:tc>
          <w:tcPr>
            <w:tcW w:type="dxa" w:w="900"/>
            <w:shd w:fill="2F5496" w:val="clear"/>
          </w:tcPr>
          <w:p>
            <w:r>
              <w:rPr>
                <w:b/>
                <w:bCs/>
                <w:color w:val="FFFFFF"/>
              </w:rPr>
              <w:t xml:space="preserve">Adım</w:t>
            </w:r>
          </w:p>
        </w:tc>
        <w:tc>
          <w:tcPr>
            <w:tcW w:type="dxa" w:w="5300"/>
            <w:shd w:fill="2F5496" w:val="clear"/>
          </w:tcPr>
          <w:p>
            <w:r>
              <w:rPr>
                <w:b/>
                <w:bCs/>
                <w:color w:val="FFFFFF"/>
              </w:rPr>
              <w:t xml:space="preserve">İşlem</w:t>
            </w:r>
          </w:p>
        </w:tc>
        <w:tc>
          <w:tcPr>
            <w:tcW w:type="dxa" w:w="3300"/>
            <w:shd w:fill="2F5496" w:val="clear"/>
          </w:tcPr>
          <w:p>
            <w:r>
              <w:rPr>
                <w:b/>
                <w:bCs/>
                <w:color w:val="FFFFFF"/>
              </w:rPr>
              <w:t xml:space="preserve">Sonuç boyutu (5 kelimelik örnek, d_out=4)</w:t>
            </w:r>
          </w:p>
        </w:tc>
      </w:tr>
      <w:tr>
        <w:tc>
          <w:tcPr>
            <w:tcW w:type="dxa" w:w="900"/>
          </w:tcPr>
          <w:p>
            <w:r>
              <w:rPr>
                <w:b w:val="false"/>
                <w:bCs w:val="false"/>
              </w:rPr>
              <w:t xml:space="preserve">1</w:t>
            </w:r>
          </w:p>
        </w:tc>
        <w:tc>
          <w:tcPr>
            <w:tcW w:type="dxa" w:w="5300"/>
          </w:tcPr>
          <w:p>
            <w:r>
              <w:rPr>
                <w:b w:val="false"/>
                <w:bCs w:val="false"/>
              </w:rPr>
              <w:t xml:space="preserve">Girdi × W_q, W_k, W_v → Query, Key, Value matrisleri</w:t>
            </w:r>
          </w:p>
        </w:tc>
        <w:tc>
          <w:tcPr>
            <w:tcW w:type="dxa" w:w="3300"/>
          </w:tcPr>
          <w:p>
            <w:r>
              <w:rPr>
                <w:b w:val="false"/>
                <w:bCs w:val="false"/>
              </w:rPr>
              <w:t xml:space="preserve">Her biri (5, 4)</w:t>
            </w:r>
          </w:p>
        </w:tc>
      </w:tr>
      <w:tr>
        <w:tc>
          <w:tcPr>
            <w:tcW w:type="dxa" w:w="900"/>
          </w:tcPr>
          <w:p>
            <w:r>
              <w:rPr>
                <w:b w:val="false"/>
                <w:bCs w:val="false"/>
              </w:rPr>
              <w:t xml:space="preserve">2</w:t>
            </w:r>
          </w:p>
        </w:tc>
        <w:tc>
          <w:tcPr>
            <w:tcW w:type="dxa" w:w="5300"/>
          </w:tcPr>
          <w:p>
            <w:r>
              <w:rPr>
                <w:b w:val="false"/>
                <w:bCs w:val="false"/>
              </w:rPr>
              <w:t xml:space="preserve">Query × Key^T (Key transpoze edilir ki boyutlar uysun)</w:t>
            </w:r>
          </w:p>
        </w:tc>
        <w:tc>
          <w:tcPr>
            <w:tcW w:type="dxa" w:w="3300"/>
          </w:tcPr>
          <w:p>
            <w:r>
              <w:rPr>
                <w:b w:val="false"/>
                <w:bCs w:val="false"/>
              </w:rPr>
              <w:t xml:space="preserve">(5, 5) ham attention skoru matrisi</w:t>
            </w:r>
          </w:p>
        </w:tc>
      </w:tr>
      <w:tr>
        <w:tc>
          <w:tcPr>
            <w:tcW w:type="dxa" w:w="900"/>
          </w:tcPr>
          <w:p>
            <w:r>
              <w:rPr>
                <w:b w:val="false"/>
                <w:bCs w:val="false"/>
              </w:rPr>
              <w:t xml:space="preserve">3</w:t>
            </w:r>
          </w:p>
        </w:tc>
        <w:tc>
          <w:tcPr>
            <w:tcW w:type="dxa" w:w="5300"/>
          </w:tcPr>
          <w:p>
            <w:r>
              <w:rPr>
                <w:b w:val="false"/>
                <w:bCs w:val="false"/>
              </w:rPr>
              <w:t xml:space="preserve">Skorlar √d_k'ya bölünerek ölçeklenir</w:t>
            </w:r>
          </w:p>
        </w:tc>
        <w:tc>
          <w:tcPr>
            <w:tcW w:type="dxa" w:w="3300"/>
          </w:tcPr>
          <w:p>
            <w:r>
              <w:rPr>
                <w:b w:val="false"/>
                <w:bCs w:val="false"/>
              </w:rPr>
              <w:t xml:space="preserve">(5, 5), aynı boyut</w:t>
            </w:r>
          </w:p>
        </w:tc>
      </w:tr>
      <w:tr>
        <w:tc>
          <w:tcPr>
            <w:tcW w:type="dxa" w:w="900"/>
          </w:tcPr>
          <w:p>
            <w:r>
              <w:rPr>
                <w:b w:val="false"/>
                <w:bCs w:val="false"/>
              </w:rPr>
              <w:t xml:space="preserve">4</w:t>
            </w:r>
          </w:p>
        </w:tc>
        <w:tc>
          <w:tcPr>
            <w:tcW w:type="dxa" w:w="5300"/>
          </w:tcPr>
          <w:p>
            <w:r>
              <w:rPr>
                <w:b w:val="false"/>
                <w:bCs w:val="false"/>
              </w:rPr>
              <w:t xml:space="preserve">(Decoder için) gelecekteki token'lara karşılık gelen üst üçgen -∞ ile maskelenir</w:t>
            </w:r>
          </w:p>
        </w:tc>
        <w:tc>
          <w:tcPr>
            <w:tcW w:type="dxa" w:w="3300"/>
          </w:tcPr>
          <w:p>
            <w:r>
              <w:rPr>
                <w:b w:val="false"/>
                <w:bCs w:val="false"/>
              </w:rPr>
              <w:t xml:space="preserve">(5, 5), üst üçgen -∞</w:t>
            </w:r>
          </w:p>
        </w:tc>
      </w:tr>
      <w:tr>
        <w:tc>
          <w:tcPr>
            <w:tcW w:type="dxa" w:w="900"/>
          </w:tcPr>
          <w:p>
            <w:r>
              <w:rPr>
                <w:b w:val="false"/>
                <w:bCs w:val="false"/>
              </w:rPr>
              <w:t xml:space="preserve">5</w:t>
            </w:r>
          </w:p>
        </w:tc>
        <w:tc>
          <w:tcPr>
            <w:tcW w:type="dxa" w:w="5300"/>
          </w:tcPr>
          <w:p>
            <w:r>
              <w:rPr>
                <w:b w:val="false"/>
                <w:bCs w:val="false"/>
              </w:rPr>
              <w:t xml:space="preserve">Satır bazında softmax uygulanır → attention ağırlıkları</w:t>
            </w:r>
          </w:p>
        </w:tc>
        <w:tc>
          <w:tcPr>
            <w:tcW w:type="dxa" w:w="3300"/>
          </w:tcPr>
          <w:p>
            <w:r>
              <w:rPr>
                <w:b w:val="false"/>
                <w:bCs w:val="false"/>
              </w:rPr>
              <w:t xml:space="preserve">Her satır toplamı 1</w:t>
            </w:r>
          </w:p>
        </w:tc>
      </w:tr>
      <w:tr>
        <w:tc>
          <w:tcPr>
            <w:tcW w:type="dxa" w:w="900"/>
          </w:tcPr>
          <w:p>
            <w:r>
              <w:rPr>
                <w:b w:val="false"/>
                <w:bCs w:val="false"/>
              </w:rPr>
              <w:t xml:space="preserve">6</w:t>
            </w:r>
          </w:p>
        </w:tc>
        <w:tc>
          <w:tcPr>
            <w:tcW w:type="dxa" w:w="5300"/>
          </w:tcPr>
          <w:p>
            <w:r>
              <w:rPr>
                <w:b w:val="false"/>
                <w:bCs w:val="false"/>
              </w:rPr>
              <w:t xml:space="preserve">Attention ağırlıkları × Value matrisi</w:t>
            </w:r>
          </w:p>
        </w:tc>
        <w:tc>
          <w:tcPr>
            <w:tcW w:type="dxa" w:w="3300"/>
          </w:tcPr>
          <w:p>
            <w:r>
              <w:rPr>
                <w:b w:val="false"/>
                <w:bCs w:val="false"/>
              </w:rPr>
              <w:t xml:space="preserve">(5, 4) bağlam vektörleri matrisi</w:t>
            </w:r>
          </w:p>
        </w:tc>
      </w:tr>
    </w:tbl>
    <w:p>
      <w:pPr>
        <w:spacing w:after="160"/>
      </w:pPr>
      <w:r>
        <w:t xml:space="preserve">Ölçekleme adımı (√d_k'ya bölme) özellikle önemli: boyut (d_k) arttıkça nokta çarpımının varyansı da artıyor, bu da softmax'ı "doygunluğa" (saturation) itip gradyanların kaybolmasına yol açabiliyor. Q ve K bileşenlerinin ortalaması 0, varyansı 1 olan bağımsız değişkenler olduğu varsayımı altında, nokta çarpımlarının varyansı d_k oluyor; bunu 1'e sabitlemek için √d_k'ya bölünüyor.</w:t>
      </w:r>
    </w:p>
    <w:p>
      <w:pPr>
        <w:spacing w:after="160"/>
      </w:pPr>
      <w:r>
        <w:t xml:space="preserve">Basit normalizasyon (değeri satır toplamına bölmek) ile softmax karşılaştırılıyor: softmax önce her değeri üstel (exponential) hale getirip sonra normalize ettiği için farkları çok daha keskin bir biçimde büyütüyor (örnekte [1,2,3,6] değerlerinden 6, basit normalizasyonda %50 alırken softmax'ta %93 alıyor) ve negatif değerleri de zarifçe ele alabiliyor — basit normalizasyonda negatif bir "olasılık" ortaya çıkması gibi bir sorun softmax'ta yaşanmıyor.</w:t>
      </w:r>
    </w:p>
    <w:p>
      <w:pPr>
        <w:pStyle w:val="Heading1"/>
        <w:spacing w:after="150" w:before="300"/>
      </w:pPr>
      <w:r>
        <w:t xml:space="preserve">8. Nedensel (Causal) / Maskeli Dikkat</w:t>
      </w:r>
    </w:p>
    <w:p>
      <w:pPr>
        <w:spacing w:after="160"/>
      </w:pPr>
      <w:r>
        <w:t xml:space="preserve">GPT gibi üretici modeller token'ları sırayla ürettiği için, bir token işlenirken sadece kendisinden önceki token'lardan etkilenmesi gerekiyor; henüz üretilmemiş gelecekteki token'lardan bilgi sızmamalı. Bu, alt üçgensel (lower-triangular) bir attention matrisiyle sağlanıyor.</w:t>
      </w:r>
    </w:p>
    <w:p>
      <w:pPr>
        <w:pStyle w:val="Heading2"/>
        <w:spacing w:after="120" w:before="240"/>
      </w:pPr>
      <w:r>
        <w:t xml:space="preserve">Yöntem 1 (Hatalı): Softmax sonrası sıfırla maskeleme</w:t>
      </w:r>
    </w:p>
    <w:p>
      <w:pPr>
        <w:spacing w:after="160"/>
      </w:pPr>
      <w:r>
        <w:t xml:space="preserve">İlk akla gelen yaklaşım, softmax uygulandıktan sonra üst üçgeni sıfırlayıp satırları yeniden normalize etmek. Ancak yazı bunun ciddi bir kusur taşıdığını gösteriyor: softmax paydası hesaplanırken gelecekteki token'ların skorları da toplamın içine giriyor; bu nedenle maskeleme softmax'tan SONRA yapılırsa, gelecek bilgisi softmax paydası üzerinden zaten "sızmış" oluyor (data leakage). Sonradan sıfırlamak bu sızıntıyı gidermiyor.</w:t>
      </w:r>
    </w:p>
    <w:p>
      <w:pPr>
        <w:pStyle w:val="Heading2"/>
        <w:spacing w:after="120" w:before="240"/>
      </w:pPr>
      <w:r>
        <w:t xml:space="preserve">Yöntem 2 (Doğru): Softmax öncesi -∞ ile maskeleme</w:t>
      </w:r>
    </w:p>
    <w:p>
      <w:pPr>
        <w:spacing w:after="160"/>
      </w:pPr>
      <w:r>
        <w:t xml:space="preserve">Doğru çözüm, ölçeklenmiş skorlar üzerinde, softmax uygulanmadan ÖNCE, üst üçgendeki (gelecek) pozisyonları -sonsuz (-∞) ile doldurmak. e^(-∞) sıfıra yaklaştığı için bu pozisyonlar softmax sonrası otomatik olarak tam sıfır olur ve kalan (görünür) pozisyonlar zaten normalize biçimde toplamı 1 yapar — ayrıca bir normalizasyon adımına gerek kalmaz. Bu yöntem hem veri sızıntısını önlüyor hem de matematiksel olarak geçerli bir olasılık dağılımı garanti ediyor.</w:t>
      </w:r>
    </w:p>
    <w:p>
      <w:pPr>
        <w:pStyle w:val="Heading1"/>
        <w:spacing w:after="150" w:before="300"/>
      </w:pPr>
      <w:r>
        <w:t xml:space="preserve">9. Genel Değerlendirme</w:t>
      </w:r>
    </w:p>
    <w:p>
      <w:pPr>
        <w:spacing w:after="160"/>
      </w:pPr>
      <w:r>
        <w:t xml:space="preserve">Makale, LLM'lerin "bir sonraki kelimeyi tahmin etme" gibi basit bir hedeften nasıl karmaşık dil anlama yeteneklerine ulaştığını; token'laştırmadan (BPE) gömme vektörlerine, oradan self-attention'ın Q/K/V mekanizmasına ve son olarak GPT tipi modeller için zorunlu olan causal masking'e kadar uzanan bir çizgide, her adımı hem sezgisel açıklamalarla hem PyTorch kod örnekleriyle anlatıyor. Metin bu noktada (Bölüm 1.13 — causal masking'in -∞ ile uygulanması) kesiliyor; içindekiler tablosuna göre devamında dropout'lu causal attention (1.14), self-attention özeti (1.15), çok-başlı dikkat sezgisi (1.16), katman normalizasyonu (1.17), feed-forward ağlar (1.18), shortcut bağlantılar (1.19), Transformer'ın RNN/CNN'e göre ölçeklenme avantajları (1.20), ön-eğitim/ince ayar/transfer öğrenme (1.21), sınırlamalar (1.22), BERT ile uçtan uca kodlama uygulaması (1.23) ve genel özet (1.24) bölümleri yer alıyor. Bu bölümlerin tam metnine, kaynağın ücretsiz önizleme sınırı nedeniyle bu inceleme sırasında erişilemedi; dolayısıyla yukarıdaki özet yalnızca erişilebilen 1.1–1.13 arası bölümleri kapsamaktadır.</w:t>
      </w:r>
    </w:p>
    <w:p>
      <w:pPr>
        <w:pStyle w:val="Heading1"/>
        <w:spacing w:after="150" w:before="300"/>
      </w:pPr>
      <w:r>
        <w:t xml:space="preserve">Ekstra Puan: Metinde Tespit Edilen Olası Hata ve Tutarsızlıklar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400"/>
      </w:tblGrid>
      <w:tr>
        <w:tc>
          <w:tcPr>
            <w:tcW w:type="dxa" w:w="500"/>
            <w:shd w:fill="2F5496" w:val="clear"/>
          </w:tcPr>
          <w:p>
            <w:r>
              <w:rPr>
                <w:b/>
                <w:bCs/>
                <w:color w:val="FFFFFF"/>
              </w:rPr>
              <w:t xml:space="preserve">#</w:t>
            </w:r>
          </w:p>
        </w:tc>
        <w:tc>
          <w:tcPr>
            <w:tcW w:type="dxa" w:w="2600"/>
            <w:shd w:fill="2F5496" w:val="clear"/>
          </w:tcPr>
          <w:p>
            <w:r>
              <w:rPr>
                <w:b/>
                <w:bCs/>
                <w:color w:val="FFFFFF"/>
              </w:rPr>
              <w:t xml:space="preserve">Yer</w:t>
            </w:r>
          </w:p>
        </w:tc>
        <w:tc>
          <w:tcPr>
            <w:tcW w:type="dxa" w:w="6400"/>
            <w:shd w:fill="2F5496" w:val="clear"/>
          </w:tcPr>
          <w:p>
            <w:r>
              <w:rPr>
                <w:b/>
                <w:bCs/>
                <w:color w:val="FFFFFF"/>
              </w:rPr>
              <w:t xml:space="preserve">Tespit edilen sorun</w:t>
            </w:r>
          </w:p>
        </w:tc>
      </w:tr>
      <w:tr>
        <w:tc>
          <w:tcPr>
            <w:tcW w:type="dxa" w:w="500"/>
          </w:tcPr>
          <w:p>
            <w:r>
              <w:rPr>
                <w:b w:val="false"/>
                <w:bCs w:val="false"/>
              </w:rPr>
              <w:t xml:space="preserve">1</w:t>
            </w:r>
          </w:p>
        </w:tc>
        <w:tc>
          <w:tcPr>
            <w:tcW w:type="dxa" w:w="2600"/>
          </w:tcPr>
          <w:p>
            <w:r>
              <w:rPr>
                <w:b w:val="false"/>
                <w:bCs w:val="false"/>
              </w:rPr>
              <w:t xml:space="preserve">Bölüm 1.10, Listing 1.2</w:t>
            </w:r>
          </w:p>
        </w:tc>
        <w:tc>
          <w:tcPr>
            <w:tcW w:type="dxa" w:w="6400"/>
          </w:tcPr>
          <w:p>
            <w:r>
              <w:rPr>
                <w:b w:val="false"/>
                <w:bCs w:val="false"/>
              </w:rPr>
              <w:t xml:space="preserve">Kod "d_out = 4" olarak tanımlanıyor ve çıktıda da 4 basılıyor; ancak hemen altındaki açıklama metni "d_out is set to 2, which means each query key and value vector will live in a 2 dimensional space" diyerek d_out=2 olduğunu iddia ediyor. Kod ile açıklama birbiriyle çelişiyor.</w:t>
            </w:r>
          </w:p>
        </w:tc>
      </w:tr>
      <w:tr>
        <w:tc>
          <w:tcPr>
            <w:tcW w:type="dxa" w:w="500"/>
          </w:tcPr>
          <w:p>
            <w:r>
              <w:rPr>
                <w:b w:val="false"/>
                <w:bCs w:val="false"/>
              </w:rPr>
              <w:t xml:space="preserve">2</w:t>
            </w:r>
          </w:p>
        </w:tc>
        <w:tc>
          <w:tcPr>
            <w:tcW w:type="dxa" w:w="2600"/>
          </w:tcPr>
          <w:p>
            <w:r>
              <w:rPr>
                <w:b w:val="false"/>
                <w:bCs w:val="false"/>
              </w:rPr>
              <w:t xml:space="preserve">Bölüm 1.10–1.12, örnek sayılar</w:t>
            </w:r>
          </w:p>
        </w:tc>
        <w:tc>
          <w:tcPr>
            <w:tcW w:type="dxa" w:w="6400"/>
          </w:tcPr>
          <w:p>
            <w:r>
              <w:rPr>
                <w:b w:val="false"/>
                <w:bCs w:val="false"/>
              </w:rPr>
              <w:t xml:space="preserve">Elle hesaplanan örnek attention skorları (örn. "next" satırı için [11.0, 10.2, 10.1, 10.4, 11.2]) ile kodun (seed=123, gerçek W_query/W_key değerleriyle) ürettiği attn_scores matrisindeki değerler ([10.0395, 10.1182, 10.6117, 11.0026, 11.3353]) birbirini tutmuyor. Metin boyunca elle işlenen "öğretici" sayılarla PyTorch çıktısı olan gerçek sayılar karışık biçimde kullanılıyor, bu da okuyucunun hangi tabloya güveneceğini karıştırıyor.</w:t>
            </w:r>
          </w:p>
        </w:tc>
      </w:tr>
      <w:tr>
        <w:tc>
          <w:tcPr>
            <w:tcW w:type="dxa" w:w="500"/>
          </w:tcPr>
          <w:p>
            <w:r>
              <w:rPr>
                <w:b w:val="false"/>
                <w:bCs w:val="false"/>
              </w:rPr>
              <w:t xml:space="preserve">3</w:t>
            </w:r>
          </w:p>
        </w:tc>
        <w:tc>
          <w:tcPr>
            <w:tcW w:type="dxa" w:w="2600"/>
          </w:tcPr>
          <w:p>
            <w:r>
              <w:rPr>
                <w:b w:val="false"/>
                <w:bCs w:val="false"/>
              </w:rPr>
              <w:t xml:space="preserve">Bölüm 1.7</w:t>
            </w:r>
          </w:p>
        </w:tc>
        <w:tc>
          <w:tcPr>
            <w:tcW w:type="dxa" w:w="6400"/>
          </w:tcPr>
          <w:p>
            <w:r>
              <w:rPr>
                <w:b w:val="false"/>
                <w:bCs w:val="false"/>
              </w:rPr>
              <w:t xml:space="preserve">"consider an encoder decoder model that translates the English sentence 'I will eat into French'" cümlesinde tırnak işareti yanlış yerde; "I will eat" cümlesinin Fransızcaya çevrildiği kastediliyor, ama yazım "I will eat into French" ifadesini tek cümle gibi gösteriyor (muhtemel bir noktalama/kopyalama hatası).</w:t>
            </w:r>
          </w:p>
        </w:tc>
      </w:tr>
      <w:tr>
        <w:tc>
          <w:tcPr>
            <w:tcW w:type="dxa" w:w="500"/>
          </w:tcPr>
          <w:p>
            <w:r>
              <w:rPr>
                <w:b w:val="false"/>
                <w:bCs w:val="false"/>
              </w:rPr>
              <w:t xml:space="preserve">4</w:t>
            </w:r>
          </w:p>
        </w:tc>
        <w:tc>
          <w:tcPr>
            <w:tcW w:type="dxa" w:w="2600"/>
          </w:tcPr>
          <w:p>
            <w:r>
              <w:rPr>
                <w:b w:val="false"/>
                <w:bCs w:val="false"/>
              </w:rPr>
              <w:t xml:space="preserve">Bölüm 1.13, satır bazlı normalizasyon tablosu</w:t>
            </w:r>
          </w:p>
        </w:tc>
        <w:tc>
          <w:tcPr>
            <w:tcW w:type="dxa" w:w="6400"/>
          </w:tcPr>
          <w:p>
            <w:r>
              <w:rPr>
                <w:b w:val="false"/>
                <w:bCs w:val="false"/>
              </w:rPr>
              <w:t xml:space="preserve">5x5 olması gereken "normalize edilmiş ağırlıklar" matrisi 6 sütunlu gösterilmiş (her satırın sonunda fazladan bir "1.00" sütunu var); bu, biçimlendirme/kopyalama kaynaklı bir hata gibi görünüyor.</w:t>
            </w:r>
          </w:p>
        </w:tc>
      </w:tr>
      <w:tr>
        <w:tc>
          <w:tcPr>
            <w:tcW w:type="dxa" w:w="500"/>
          </w:tcPr>
          <w:p>
            <w:r>
              <w:rPr>
                <w:b w:val="false"/>
                <w:bCs w:val="false"/>
              </w:rPr>
              <w:t xml:space="preserve">5</w:t>
            </w:r>
          </w:p>
        </w:tc>
        <w:tc>
          <w:tcPr>
            <w:tcW w:type="dxa" w:w="2600"/>
          </w:tcPr>
          <w:p>
            <w:r>
              <w:rPr>
                <w:b w:val="false"/>
                <w:bCs w:val="false"/>
              </w:rPr>
              <w:t xml:space="preserve">Bölüm 1.9</w:t>
            </w:r>
          </w:p>
        </w:tc>
        <w:tc>
          <w:tcPr>
            <w:tcW w:type="dxa" w:w="6400"/>
          </w:tcPr>
          <w:p>
            <w:r>
              <w:rPr>
                <w:b w:val="false"/>
                <w:bCs w:val="false"/>
              </w:rPr>
              <w:t xml:space="preserve">"In our example, we're using d_out = 4. Why? To demonstrate that the output dimension is flexible... using 2 keeps the printed tensors readable" cümlesinde de aynı 4 vs. 2 tutarsızlığı tekrarlanıyor — metnin bir önceki sürümünde d_out=2 kullanılmış olup kodun 4'e güncellenirken açıklama metninin güncellenmediği izlenimi veriyor.</w:t>
            </w:r>
          </w:p>
        </w:tc>
      </w:tr>
    </w:tbl>
    <w:p>
      <w:pPr>
        <w:spacing w:after="160"/>
      </w:pPr>
      <w:r>
        <w:t xml:space="preserve">Not: Bu tutarsızlıkların büyük kısmı, öğretici metnin farklı revizyonlarında kullanılan örnek sayıların (elle hesaplanan basit sayılar vs. gerçek PyTorch çıktıları) birbirine tam senkronize edilmemesinden kaynaklanıyor gibi görünüyor; kavramsal anlatım ve formüller (softmax, ölçekleme, causal masking) kendi içinde tutarlı ve doğru.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2026-08-06T12:54:25.668Z</dcterms:created>
  <dcterms:modified xsi:type="dcterms:W3CDTF">2026-08-06T12:54:25.710Z</dcterms:modified>
</cp:coreProperties>
</file>

<file path=docProps/custom.xml><?xml version="1.0" encoding="utf-8"?>
<Properties xmlns="http://schemas.openxmlformats.org/officeDocument/2006/custom-properties" xmlns:vt="http://schemas.openxmlformats.org/officeDocument/2006/docPropsVTypes"/>
</file>