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15bv85wq6rs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SYSTEM — “Digital Trust Network”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895078" cy="70723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078" cy="707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QUSD Brand Identity System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06xkmpave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QUSD Brand Identity System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uk3nyx9m7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Brand Essence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Positioning:</w:t>
        <w:br w:type="textWrapping"/>
      </w:r>
      <w:r w:rsidDel="00000000" w:rsidR="00000000" w:rsidRPr="00000000">
        <w:rPr>
          <w:rtl w:val="0"/>
        </w:rPr>
        <w:t xml:space="preserve"> The financial backbone of the autonomous economy — powering AI, IoT, and machine-to-machine payments.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  <w:br w:type="textWrapping"/>
      </w:r>
      <w:r w:rsidDel="00000000" w:rsidR="00000000" w:rsidRPr="00000000">
        <w:rPr>
          <w:rtl w:val="0"/>
        </w:rPr>
        <w:t xml:space="preserve"> Futuristic, reliable, intelligent, precise.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Direction:</w:t>
        <w:br w:type="textWrapping"/>
      </w:r>
      <w:r w:rsidDel="00000000" w:rsidR="00000000" w:rsidRPr="00000000">
        <w:rPr>
          <w:rtl w:val="0"/>
        </w:rPr>
        <w:t xml:space="preserve"> Aesthetic of advanced technology and trust: deep blues for authority and quantum precision; bright cyan for innovation and digital energy.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dcrrx8oid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Color Palette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260"/>
        <w:gridCol w:w="1125"/>
        <w:gridCol w:w="5295"/>
        <w:tblGridChange w:id="0">
          <w:tblGrid>
            <w:gridCol w:w="1665"/>
            <w:gridCol w:w="1260"/>
            <w:gridCol w:w="1125"/>
            <w:gridCol w:w="5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#030812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(3, 8, 18)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background; evokes deep space and quantum precision.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#020764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(2, 7, 100)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brand blue; anchors trust and depth.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Spectrum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#043780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(4, 55, 128)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tone; used for gradients, hover states, and emphasis.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#025EC4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(2, 94, 196)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 color; ideal for CTAs and data visualization.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Neon Cyan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#0ECCED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(14, 204, 237)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Accent color conveys energy, innovation, and digital flow.</w:t>
            </w:r>
          </w:p>
        </w:tc>
      </w:tr>
    </w:tbl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r18t20d97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Color Usage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Palette: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#030812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#020764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Backgrounds, headers, core brand tone.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Palette: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#043780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#025EC4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Interface elements, charts, highlights.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 Palette: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#0ECCED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Buttons, hover states, data visualizations, links.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q1j4duf9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Gradient Options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Gradient: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linear-gradient(135deg, #020764 0%, #025EC4 100%)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Glow Gradient: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linear-gradient(135deg, #025EC4 0%, #0ECCED 100%)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83gt98v3a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Typography System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s5zypfv3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Typeface — Orbitron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Headlines, logos, and key calls to action.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Futuristic, geometric, machine-inspired.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Weights:</w:t>
      </w:r>
      <w:r w:rsidDel="00000000" w:rsidR="00000000" w:rsidRPr="00000000">
        <w:rPr>
          <w:rtl w:val="0"/>
        </w:rPr>
        <w:t xml:space="preserve"> Medium (500), Bold (700), Black (900).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 (Display):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Orbitron Black, 64px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Used in hero titles or landing pages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 (Section Header):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Orbitron Bold, 40px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Used for subsections or key messages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H3 (Feature Title):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Orbitron Medium, 28px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Used in cards or UI modules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3ymftg7pz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Typeface — Roboto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Body text, UI elements, and supporting content.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Clean, legible, and highly functional for digital environments.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Weights:</w:t>
      </w:r>
      <w:r w:rsidDel="00000000" w:rsidR="00000000" w:rsidRPr="00000000">
        <w:rPr>
          <w:rtl w:val="0"/>
        </w:rPr>
        <w:t xml:space="preserve"> Regular (400), Medium (500), Bold (700).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Copy: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Roboto Regular, 16px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Used for standard text and descriptions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Text / Captions: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Roboto Regular, 14px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For UI labels or tooltips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/ Navigation: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Roboto Medium, 16px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For clarity and accessibility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hestjh7rz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 Hierarchy Example</w:t>
      </w:r>
    </w:p>
    <w:tbl>
      <w:tblPr>
        <w:tblStyle w:val="Table2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925"/>
        <w:gridCol w:w="965"/>
        <w:gridCol w:w="710"/>
        <w:gridCol w:w="3095"/>
        <w:tblGridChange w:id="0">
          <w:tblGrid>
            <w:gridCol w:w="1535"/>
            <w:gridCol w:w="1925"/>
            <w:gridCol w:w="965"/>
            <w:gridCol w:w="710"/>
            <w:gridCol w:w="3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Orbitron 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Hero sections / splash screens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Orbitron 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 titles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Orbitron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 or content headers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Roboto 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Roboto 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Labels, 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Button / 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Roboto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calls-to-action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x8no1kphn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UI/UX Application Guidelines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Backgrounds:</w:t>
      </w:r>
      <w:r w:rsidDel="00000000" w:rsidR="00000000" w:rsidRPr="00000000">
        <w:rPr>
          <w:rtl w:val="0"/>
        </w:rPr>
        <w:t xml:space="preserve"> Prefer deep tones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#030812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#020764</w:t>
      </w:r>
      <w:r w:rsidDel="00000000" w:rsidR="00000000" w:rsidRPr="00000000">
        <w:rPr>
          <w:rtl w:val="0"/>
        </w:rPr>
        <w:t xml:space="preserve">) with neon cyan or bright blue accents.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on Dark:</w:t>
      </w:r>
      <w:r w:rsidDel="00000000" w:rsidR="00000000" w:rsidRPr="00000000">
        <w:rPr>
          <w:rtl w:val="0"/>
        </w:rPr>
        <w:t xml:space="preserve">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 or light gray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#E8E8E8</w:t>
      </w:r>
      <w:r w:rsidDel="00000000" w:rsidR="00000000" w:rsidRPr="00000000">
        <w:rPr>
          <w:rtl w:val="0"/>
        </w:rPr>
        <w:t xml:space="preserve">) for contrast.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/ Active States:</w:t>
      </w:r>
      <w:r w:rsidDel="00000000" w:rsidR="00000000" w:rsidRPr="00000000">
        <w:rPr>
          <w:rtl w:val="0"/>
        </w:rPr>
        <w:t xml:space="preserve"> Animate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#0ECCED</w:t>
      </w:r>
      <w:r w:rsidDel="00000000" w:rsidR="00000000" w:rsidRPr="00000000">
        <w:rPr>
          <w:rtl w:val="0"/>
        </w:rPr>
        <w:t xml:space="preserve"> glow or gradient transitions.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 / Data:</w:t>
      </w:r>
      <w:r w:rsidDel="00000000" w:rsidR="00000000" w:rsidRPr="00000000">
        <w:rPr>
          <w:rtl w:val="0"/>
        </w:rPr>
        <w:t xml:space="preserve"> Use gradient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#025EC4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#0ECCED</w:t>
      </w:r>
      <w:r w:rsidDel="00000000" w:rsidR="00000000" w:rsidRPr="00000000">
        <w:rPr>
          <w:rtl w:val="0"/>
        </w:rPr>
        <w:t xml:space="preserve"> for visual energy.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Icons / Lines:</w:t>
      </w:r>
      <w:r w:rsidDel="00000000" w:rsidR="00000000" w:rsidRPr="00000000">
        <w:rPr>
          <w:rtl w:val="0"/>
        </w:rPr>
        <w:t xml:space="preserve"> Minimal, geometric; light outlines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#0ECCED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ewa4da8lk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Brand Feel Summary</w:t>
      </w:r>
    </w:p>
    <w:tbl>
      <w:tblPr>
        <w:tblStyle w:val="Table3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6990"/>
        <w:tblGridChange w:id="0">
          <w:tblGrid>
            <w:gridCol w:w="1695"/>
            <w:gridCol w:w="6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Orbitron + Roboto fusion reflects precision and clarity.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blue tones build institutional credibility.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Neon cyan highlights convey speed, data flow, and AI connection.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Clean, structured layout mirrors the logic of machine-driven transactions.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qx66ndrc1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QUSD Typography System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dzjsxlnti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Primary / Header / Title Font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 Family:</w:t>
      </w:r>
      <w:r w:rsidDel="00000000" w:rsidR="00000000" w:rsidRPr="00000000">
        <w:rPr>
          <w:rtl w:val="0"/>
        </w:rPr>
        <w:t xml:space="preserve"> Orbitron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Bold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headers (H1, H2)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titles, hero sections, key callouts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statements, slogans, and taglines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Futuristic, geometric, tech-forward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presence, ideal for digital-first interfaces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v4a1lxzlv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gz53dywgf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0d46dy1p5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Secondary / Body Copy Font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 Family:</w:t>
      </w:r>
      <w:r w:rsidDel="00000000" w:rsidR="00000000" w:rsidRPr="00000000">
        <w:rPr>
          <w:rtl w:val="0"/>
        </w:rPr>
        <w:t xml:space="preserve"> Roboto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Regular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Paragraphs, body text, descriptions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UI/UX elements, forms, labels, and captions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Whitepapers, articles, and documentation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Characteristics: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Clean, readable, versatile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Neutral complement to Orbitron’s bold, technical aesthetic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j5rcflh6q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Usage Guidelines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Use Orbitron Bold, uppercase preferred for H1/H2 to maintain futuristic impact.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Subheaders / Highlights:</w:t>
      </w:r>
      <w:r w:rsidDel="00000000" w:rsidR="00000000" w:rsidRPr="00000000">
        <w:rPr>
          <w:rtl w:val="0"/>
        </w:rPr>
        <w:t xml:space="preserve"> Optionally use Orbitron Medium for smaller headings.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Roboto Regular, 10–14pt for digital content; line height 1.4–1.6 for readability.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 &amp; Color:</w:t>
      </w:r>
      <w:r w:rsidDel="00000000" w:rsidR="00000000" w:rsidRPr="00000000">
        <w:rPr>
          <w:rtl w:val="0"/>
        </w:rPr>
        <w:t xml:space="preserve"> Ensure headers are clearly distinguishable from body text using your brand palette (#030812, #020764, #043780, #025EC4, #0ECCED).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