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3.3 Web UI (/mlw/)</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60" w:before="0"/>
        <w:ind w:left="320"/>
      </w:pPr>
      <w:hyperlink w:anchor="_Toc100006" w:history="1">
        <w:r>
          <w:t xml:space="preserve">3.4 Drive detection (optional)</w:t>
        </w:r>
        <w:r>
          <w:tab/>
        </w:r>
        <w:r>
          <w:fldChar w:fldCharType="begin"/>
        </w:r>
        <w:r>
          <w:instrText xml:space="preserve"> PAGEREF _Toc100006 \h </w:instrText>
        </w:r>
        <w:r>
          <w:fldChar w:fldCharType="separate"/>
        </w:r>
        <w:r>
          <w:t xml:space="preserve">5</w:t>
        </w:r>
        <w:r>
          <w:fldChar w:fldCharType="end"/>
        </w:r>
      </w:hyperlink>
    </w:p>
    <w:p>
      <w:pPr>
        <w:tabs>
          <w:tab w:pos="9360" w:val="right" w:leader="dot"/>
        </w:tabs>
        <w:spacing w:after="80" w:before="120"/>
        <w:ind w:left="0"/>
      </w:pPr>
      <w:hyperlink w:anchor="_Toc100007" w:history="1">
        <w:r>
          <w:rPr>
            <w:b/>
          </w:rPr>
          <w:t xml:space="preserve">4. How traffic flows</w:t>
        </w:r>
        <w:r>
          <w:rPr>
            <w:b/>
          </w:rPr>
          <w:tab/>
        </w:r>
        <w:r>
          <w:rPr>
            <w:b/>
          </w:rPr>
          <w:fldChar w:fldCharType="begin"/>
        </w:r>
        <w:r>
          <w:rPr>
            <w:b/>
          </w:rPr>
          <w:instrText xml:space="preserve"> PAGEREF _Toc100007 \h </w:instrText>
        </w:r>
        <w:r>
          <w:rPr>
            <w:b/>
          </w:rPr>
          <w:fldChar w:fldCharType="separate"/>
        </w:r>
        <w:r>
          <w:rPr>
            <w:b/>
          </w:rPr>
          <w:t xml:space="preserve">7</w:t>
        </w:r>
        <w:r>
          <w:rPr>
            <w:b/>
          </w:rPr>
          <w:fldChar w:fldCharType="end"/>
        </w:r>
      </w:hyperlink>
    </w:p>
    <w:p>
      <w:pPr>
        <w:tabs>
          <w:tab w:pos="9360" w:val="right" w:leader="dot"/>
        </w:tabs>
        <w:spacing w:after="60" w:before="0"/>
        <w:ind w:left="320"/>
      </w:pPr>
      <w:hyperlink w:anchor="_Toc100008" w:history="1">
        <w:r>
          <w:t xml:space="preserve">4.1 Web and REST API</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320"/>
      </w:pPr>
      <w:hyperlink w:anchor="_Toc100009" w:history="1">
        <w:r>
          <w:t xml:space="preserve">4.2 SFTP</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320"/>
      </w:pPr>
      <w:hyperlink w:anchor="_Toc100010" w:history="1">
        <w:r>
          <w:t xml:space="preserve">4.3 FTP (optional)</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4.4 WebDAV (optional)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320"/>
      </w:pPr>
      <w:hyperlink w:anchor="_Toc100012" w:history="1">
        <w:r>
          <w:t xml:space="preserve">4.5 Keycloak token login (optional)</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320"/>
      </w:pPr>
      <w:hyperlink w:anchor="_Toc100013" w:history="1">
        <w:r>
          <w:t xml:space="preserve">4.6 Choosing the directory a user can open</w:t>
        </w:r>
        <w:r>
          <w:tab/>
        </w:r>
        <w:r>
          <w:fldChar w:fldCharType="begin"/>
        </w:r>
        <w:r>
          <w:instrText xml:space="preserve"> PAGEREF _Toc100013 \h </w:instrText>
        </w:r>
        <w:r>
          <w:fldChar w:fldCharType="separate"/>
        </w:r>
        <w:r>
          <w:t xml:space="preserve">9</w:t>
        </w:r>
        <w:r>
          <w:fldChar w:fldCharType="end"/>
        </w:r>
      </w:hyperlink>
    </w:p>
    <w:p>
      <w:pPr>
        <w:tabs>
          <w:tab w:pos="9360" w:val="right" w:leader="dot"/>
        </w:tabs>
        <w:spacing w:after="60" w:before="0"/>
        <w:ind w:left="320"/>
      </w:pPr>
      <w:hyperlink w:anchor="_Toc100014" w:history="1">
        <w:r>
          <w:t xml:space="preserve">4.7 mlw-storage web UI sign-in</w:t>
        </w:r>
        <w:r>
          <w:tab/>
        </w:r>
        <w:r>
          <w:fldChar w:fldCharType="begin"/>
        </w:r>
        <w:r>
          <w:instrText xml:space="preserve"> PAGEREF _Toc100014 \h </w:instrText>
        </w:r>
        <w:r>
          <w:fldChar w:fldCharType="separate"/>
        </w:r>
        <w:r>
          <w:t xml:space="preserve">10</w:t>
        </w:r>
        <w:r>
          <w:fldChar w:fldCharType="end"/>
        </w:r>
      </w:hyperlink>
    </w:p>
    <w:p>
      <w:pPr>
        <w:tabs>
          <w:tab w:pos="9360" w:val="right" w:leader="dot"/>
        </w:tabs>
        <w:spacing w:after="60" w:before="0"/>
        <w:ind w:left="320"/>
      </w:pPr>
      <w:hyperlink w:anchor="_Toc100015" w:history="1">
        <w:r>
          <w:t xml:space="preserve">4.8 Drive detection</w:t>
        </w:r>
        <w:r>
          <w:tab/>
        </w:r>
        <w:r>
          <w:fldChar w:fldCharType="begin"/>
        </w:r>
        <w:r>
          <w:instrText xml:space="preserve"> PAGEREF _Toc100015 \h </w:instrText>
        </w:r>
        <w:r>
          <w:fldChar w:fldCharType="separate"/>
        </w:r>
        <w:r>
          <w:t xml:space="preserve">10</w:t>
        </w:r>
        <w:r>
          <w:fldChar w:fldCharType="end"/>
        </w:r>
      </w:hyperlink>
    </w:p>
    <w:p>
      <w:pPr>
        <w:tabs>
          <w:tab w:pos="9360" w:val="right" w:leader="dot"/>
        </w:tabs>
        <w:spacing w:after="80" w:before="120"/>
        <w:ind w:left="0"/>
      </w:pPr>
      <w:hyperlink w:anchor="_Toc100016" w:history="1">
        <w:r>
          <w:rPr>
            <w:b/>
          </w:rPr>
          <w:t xml:space="preserve">5. Ports</w:t>
        </w:r>
        <w:r>
          <w:rPr>
            <w:b/>
          </w:rPr>
          <w:tab/>
        </w:r>
        <w:r>
          <w:rPr>
            <w:b/>
          </w:rPr>
          <w:fldChar w:fldCharType="begin"/>
        </w:r>
        <w:r>
          <w:rPr>
            <w:b/>
          </w:rPr>
          <w:instrText xml:space="preserve"> PAGEREF _Toc100016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17" w:history="1">
        <w:r>
          <w:rPr>
            <w:b/>
          </w:rPr>
          <w:t xml:space="preserve">6. Configuration</w:t>
        </w:r>
        <w:r>
          <w:rPr>
            <w:b/>
          </w:rPr>
          <w:tab/>
        </w:r>
        <w:r>
          <w:rPr>
            <w:b/>
          </w:rPr>
          <w:fldChar w:fldCharType="begin"/>
        </w:r>
        <w:r>
          <w:rPr>
            <w:b/>
          </w:rPr>
          <w:instrText xml:space="preserve"> PAGEREF _Toc100017 \h </w:instrText>
        </w:r>
        <w:r>
          <w:rPr>
            <w:b/>
          </w:rPr>
          <w:fldChar w:fldCharType="separate"/>
        </w:r>
        <w:r>
          <w:rPr>
            <w:b/>
          </w:rPr>
          <w:t xml:space="preserve">11</w:t>
        </w:r>
        <w:r>
          <w:rPr>
            <w:b/>
          </w:rPr>
          <w:fldChar w:fldCharType="end"/>
        </w:r>
      </w:hyperlink>
    </w:p>
    <w:p>
      <w:pPr>
        <w:tabs>
          <w:tab w:pos="9360" w:val="right" w:leader="dot"/>
        </w:tabs>
        <w:spacing w:after="60" w:before="0"/>
        <w:ind w:left="320"/>
      </w:pPr>
      <w:hyperlink w:anchor="_Toc100018" w:history="1">
        <w:r>
          <w:t xml:space="preserve">6.1 Operator settings (.env)</w:t>
        </w:r>
        <w:r>
          <w:tab/>
        </w:r>
        <w:r>
          <w:fldChar w:fldCharType="begin"/>
        </w:r>
        <w:r>
          <w:instrText xml:space="preserve"> PAGEREF _Toc100018 \h </w:instrText>
        </w:r>
        <w:r>
          <w:fldChar w:fldCharType="separate"/>
        </w:r>
        <w:r>
          <w:t xml:space="preserve">11</w:t>
        </w:r>
        <w:r>
          <w:fldChar w:fldCharType="end"/>
        </w:r>
      </w:hyperlink>
    </w:p>
    <w:p>
      <w:pPr>
        <w:tabs>
          <w:tab w:pos="9360" w:val="right" w:leader="dot"/>
        </w:tabs>
        <w:spacing w:after="60" w:before="0"/>
        <w:ind w:left="320"/>
      </w:pPr>
      <w:hyperlink w:anchor="_Toc100019" w:history="1">
        <w:r>
          <w:t xml:space="preserve">6.2 Gateway settings</w:t>
        </w:r>
        <w:r>
          <w:tab/>
        </w:r>
        <w:r>
          <w:fldChar w:fldCharType="begin"/>
        </w:r>
        <w:r>
          <w:instrText xml:space="preserve"> PAGEREF _Toc100019 \h </w:instrText>
        </w:r>
        <w:r>
          <w:fldChar w:fldCharType="separate"/>
        </w:r>
        <w:r>
          <w:t xml:space="preserve">12</w:t>
        </w:r>
        <w:r>
          <w:fldChar w:fldCharType="end"/>
        </w:r>
      </w:hyperlink>
    </w:p>
    <w:p>
      <w:pPr>
        <w:tabs>
          <w:tab w:pos="9360" w:val="right" w:leader="dot"/>
        </w:tabs>
        <w:spacing w:after="60" w:before="0"/>
        <w:ind w:left="320"/>
      </w:pPr>
      <w:hyperlink w:anchor="_Toc100020" w:history="1">
        <w:r>
          <w:t xml:space="preserve">6.3 Keycloak settings (optional)</w:t>
        </w:r>
        <w:r>
          <w:tab/>
        </w:r>
        <w:r>
          <w:fldChar w:fldCharType="begin"/>
        </w:r>
        <w:r>
          <w:instrText xml:space="preserve"> PAGEREF _Toc100020 \h </w:instrText>
        </w:r>
        <w:r>
          <w:fldChar w:fldCharType="separate"/>
        </w:r>
        <w:r>
          <w:t xml:space="preserve">12</w:t>
        </w:r>
        <w:r>
          <w:fldChar w:fldCharType="end"/>
        </w:r>
      </w:hyperlink>
    </w:p>
    <w:p>
      <w:pPr>
        <w:tabs>
          <w:tab w:pos="9360" w:val="right" w:leader="dot"/>
        </w:tabs>
        <w:spacing w:after="60" w:before="0"/>
        <w:ind w:left="320"/>
      </w:pPr>
      <w:hyperlink w:anchor="_Toc100021" w:history="1">
        <w:r>
          <w:t xml:space="preserve">6.4 Production deployment (docker-compose.prod.yml)</w:t>
        </w:r>
        <w:r>
          <w:tab/>
        </w:r>
        <w:r>
          <w:fldChar w:fldCharType="begin"/>
        </w:r>
        <w:r>
          <w:instrText xml:space="preserve"> PAGEREF _Toc100021 \h </w:instrText>
        </w:r>
        <w:r>
          <w:fldChar w:fldCharType="separate"/>
        </w:r>
        <w:r>
          <w:t xml:space="preserve">13</w:t>
        </w:r>
        <w:r>
          <w:fldChar w:fldCharType="end"/>
        </w:r>
      </w:hyperlink>
    </w:p>
    <w:p>
      <w:pPr>
        <w:tabs>
          <w:tab w:pos="9360" w:val="right" w:leader="dot"/>
        </w:tabs>
        <w:spacing w:after="80" w:before="120"/>
        <w:ind w:left="0"/>
      </w:pPr>
      <w:hyperlink w:anchor="_Toc100022" w:history="1">
        <w:r>
          <w:rPr>
            <w:b/>
          </w:rPr>
          <w:t xml:space="preserve">7. Data and persistence</w:t>
        </w:r>
        <w:r>
          <w:rPr>
            <w:b/>
          </w:rPr>
          <w:tab/>
        </w:r>
        <w:r>
          <w:rPr>
            <w:b/>
          </w:rPr>
          <w:fldChar w:fldCharType="begin"/>
        </w:r>
        <w:r>
          <w:rPr>
            <w:b/>
          </w:rPr>
          <w:instrText xml:space="preserve"> PAGEREF _Toc100022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3" w:history="1">
        <w:r>
          <w:rPr>
            <w:b/>
          </w:rPr>
          <w:t xml:space="preserve">8. Security considerations</w:t>
        </w:r>
        <w:r>
          <w:rPr>
            <w:b/>
          </w:rPr>
          <w:tab/>
        </w:r>
        <w:r>
          <w:rPr>
            <w:b/>
          </w:rPr>
          <w:fldChar w:fldCharType="begin"/>
        </w:r>
        <w:r>
          <w:rPr>
            <w:b/>
          </w:rPr>
          <w:instrText xml:space="preserve"> PAGEREF _Toc100023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4" w:history="1">
        <w:r>
          <w:rPr>
            <w:b/>
          </w:rPr>
          <w:t xml:space="preserve">9. Operations</w:t>
        </w:r>
        <w:r>
          <w:rPr>
            <w:b/>
          </w:rPr>
          <w:tab/>
        </w:r>
        <w:r>
          <w:rPr>
            <w:b/>
          </w:rPr>
          <w:fldChar w:fldCharType="begin"/>
        </w:r>
        <w:r>
          <w:rPr>
            <w:b/>
          </w:rPr>
          <w:instrText xml:space="preserve"> PAGEREF _Toc100024 \h </w:instrText>
        </w:r>
        <w:r>
          <w:rPr>
            <w:b/>
          </w:rPr>
          <w:fldChar w:fldCharType="separate"/>
        </w:r>
        <w:r>
          <w:rPr>
            <w:b/>
          </w:rPr>
          <w:t xml:space="preserve">15</w:t>
        </w:r>
        <w:r>
          <w:rPr>
            <w:b/>
          </w:rPr>
          <w:fldChar w:fldCharType="end"/>
        </w:r>
      </w:hyperlink>
    </w:p>
    <w:p>
      <w:pPr>
        <w:tabs>
          <w:tab w:pos="9360" w:val="right" w:leader="dot"/>
        </w:tabs>
        <w:spacing w:after="80" w:before="120"/>
        <w:ind w:left="0"/>
      </w:pPr>
      <w:hyperlink w:anchor="_Toc100025" w:history="1">
        <w:r>
          <w:rPr>
            <w:b/>
          </w:rPr>
          <w:t xml:space="preserve">10. Limitations and possible next steps</w:t>
        </w:r>
        <w:r>
          <w:rPr>
            <w:b/>
          </w:rPr>
          <w:tab/>
        </w:r>
        <w:r>
          <w:rPr>
            <w:b/>
          </w:rPr>
          <w:fldChar w:fldCharType="begin"/>
        </w:r>
        <w:r>
          <w:rPr>
            <w:b/>
          </w:rPr>
          <w:instrText xml:space="preserve"> PAGEREF _Toc100025 \h </w:instrText>
        </w:r>
        <w:r>
          <w:rPr>
            <w:b/>
          </w:rPr>
          <w:fldChar w:fldCharType="separate"/>
        </w:r>
        <w:r>
          <w:rPr>
            <w:b/>
          </w:rPr>
          <w:t xml:space="preserve">16</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 xml:space="preserve">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  - web UI (/mlw/)                                 |</w:t>
        <w:br/>
        <w:t xml:space="preserve">  |  - drive detection [optional]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t xml:space="preserve"/>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2"/>
        <w:rPr/>
      </w:pPr>
      <w:bookmarkStart w:id="905" w:name="_Toc100005"/>
      <w:r>
        <w:rPr/>
        <w:t>3.3 Web UI (/mlw/)</w:t>
      </w:r>
      <w:bookmarkEnd w:id="905"/>
    </w:p>
    <w:p>
      <w:pPr>
        <w:pStyle w:val="Normal"/>
        <w:rPr/>
      </w:pPr>
      <w:r>
        <w:rPr/>
        <w:t>The gateway serves a small mlw-storage web UI on the HTTP port, and requests for / are redirected to it. It has two pages. The sign-in page (/mlw/login) takes the SFTPGo administrator credentials. The Dashboard (/mlw/dashboard) is the page shown after signing in: a table of the SFTPGo users (Username, Status, Last login, Description), shown 20 users per table with left and right arrows and a range label such as 1..20 to move between tables, and a button that opens the SFTPGo administration console. An account icon at the top right shows the signed-in name and opens a menu with Logout.</w:t>
      </w:r>
    </w:p>
    <w:p>
      <w:pPr>
        <w:pStyle w:val="ListBullet"/>
        <w:numPr>
          <w:ilvl w:val="0"/>
          <w:numId w:val="1"/>
        </w:numPr>
        <w:rPr/>
      </w:pPr>
      <w:r>
        <w:rPr>
          <w:b/>
        </w:rPr>
        <w:t xml:space="preserve">Sign-in.</w:t>
      </w:r>
      <w:r>
        <w:rPr/>
        <w:t xml:space="preserve"> The gateway checks the credentials with SFTPGo (GET /api/v2/token) and keeps the returned API token on the server. The browser only receives a session cookie (mlw_session: random value, HttpOnly, SameSite=Strict, Secure behind HTTPS). The session ends when the SFTPGo token expires (20 minutes by default), at Logout, or when the gateway restarts, because sessions are held in memory.</w:t>
      </w:r>
    </w:p>
    <w:p>
      <w:pPr>
        <w:pStyle w:val="ListBullet"/>
        <w:numPr>
          <w:ilvl w:val="0"/>
          <w:numId w:val="1"/>
        </w:numPr>
        <w:rPr/>
      </w:pPr>
      <w:r>
        <w:rPr>
          <w:b/>
        </w:rPr>
        <w:t xml:space="preserve">Dashboard data.</w:t>
      </w:r>
      <w:r>
        <w:rPr/>
        <w:t xml:space="preserve"> The user list is read from SFTPGo (GET /api/v2/users, paged) with the session's token and rendered on the server, with all values HTML-escaped. For users created by Keycloak login the Description holds the name and e-mail, so an administrator can tell whose directory a user id is.</w:t>
      </w:r>
    </w:p>
    <w:p>
      <w:pPr>
        <w:pStyle w:val="ListBullet"/>
        <w:numPr>
          <w:ilvl w:val="0"/>
          <w:numId w:val="1"/>
        </w:numPr>
        <w:rPr/>
      </w:pPr>
      <w:r>
        <w:rPr>
          <w:b/>
        </w:rPr>
        <w:t xml:space="preserve">Protections.</w:t>
      </w:r>
      <w:r>
        <w:rPr/>
        <w:t xml:space="preserve"> State-changing requests (sign-in, logout) must come from the same site (Sec-Fetch-Site, or an Origin or Referer naming this host). After 10 failed sign-ins from one address within 5 minutes, further attempts are refused. Pages are sent with Cache-Control: no-store and a Content-Security-Policy that allows no scripts except the one that closes the account menu and switches between tables, matched by hash.</w:t>
      </w:r>
    </w:p>
    <w:p>
      <w:pPr>
        <w:pStyle w:val="ListBullet"/>
        <w:numPr>
          <w:ilvl w:val="0"/>
          <w:numId w:val="1"/>
        </w:numPr>
        <w:rPr/>
      </w:pPr>
      <w:r>
        <w:rPr>
          <w:b/>
        </w:rPr>
        <w:t xml:space="preserve">SFTPGo console.</w:t>
      </w:r>
      <w:r>
        <w:rPr/>
        <w:t xml:space="preserve"> The Dashboard button opens SFTPGo's own admin console at /web/admin/, which keeps its separate sign-in. So an administrator can get back, the gateway adds a "mlw-storage Dashboard" button to SFTPGo's admin HTML pages (including its sign-in page) as they pass through. Other responses are not modified.</w:t>
      </w:r>
    </w:p>
    <w:p>
      <w:pPr>
        <w:pStyle w:val="ListBullet"/>
        <w:numPr>
          <w:ilvl w:val="0"/>
          <w:numId w:val="1"/>
        </w:numPr>
        <w:rPr/>
      </w:pPr>
      <w:r>
        <w:rPr>
          <w:b/>
        </w:rPr>
        <w:t xml:space="preserve">Switching off.</w:t>
      </w:r>
      <w:r>
        <w:rPr/>
        <w:t xml:space="preserve"> PROXY_UI=false removes the UI: / then goes to SFTPGo as before and nothing is injected.</w:t>
      </w:r>
    </w:p>
    <w:p>
      <w:pPr>
        <w:pStyle w:val="Heading2"/>
        <w:rPr/>
      </w:pPr>
      <w:bookmarkStart w:id="906" w:name="_Toc100006"/>
      <w:r>
        <w:rPr/>
        <w:t>3.4 Drive detection (optional)</w:t>
      </w:r>
      <w:bookmarkEnd w:id="906"/>
    </w:p>
    <w:p>
      <w:pPr>
        <w:pStyle w:val="Normal"/>
        <w:rPr/>
      </w:pPr>
      <w:r>
        <w:rPr/>
        <w:t xml:space="preserve">While mlw-storage runs, the gateway can notice physical drives (USB sticks, external disks, extra internal disks) that are mounted on the host and offer them on a Drives page of the web UI, next to the Dashboard. The feature is disabled by default. It is switched on by adding the overlay file docker-compose.media.yml to COMPOSE_FILE, which gives the gateway container read-only access to the host's media directory and to the udev database.</w:t>
      </w:r>
    </w:p>
    <w:p>
      <w:pPr>
        <w:pStyle w:val="ListBullet"/>
        <w:numPr>
          <w:ilvl w:val="0"/>
          <w:numId w:val="1"/>
        </w:numPr>
        <w:rPr/>
      </w:pPr>
      <w:r>
        <w:rPr>
          <w:b/>
        </w:rPr>
        <w:t xml:space="preserve">Seeing host mounts.</w:t>
      </w:r>
      <w:r>
        <w:rPr/>
        <w:t xml:space="preserve"> The host media directory (/media, or MLW_MEDIA_DIR) is bind-mounted read-only at /host/media with rslave propagation. Drives that the desktop mounts there then also appear inside the container and in its /proc/self/mountinfo. The host's / must be a shared mount, which is the systemd default.</w:t>
      </w:r>
    </w:p>
    <w:p>
      <w:pPr>
        <w:pStyle w:val="ListBullet"/>
        <w:numPr>
          <w:ilvl w:val="0"/>
          <w:numId w:val="1"/>
        </w:numPr>
        <w:rPr/>
      </w:pPr>
      <w:r>
        <w:rPr>
          <w:b/>
        </w:rPr>
        <w:t xml:space="preserve">Zero CPU while idle.</w:t>
      </w:r>
      <w:r>
        <w:rPr/>
        <w:t xml:space="preserve"> One goroutine sleeps in epoll_wait on /proc/self/mountinfo. The kernel signals POLLPRI|POLLERR on that file whenever the mount table changes, so the gateway only does work when a drive is mounted or unmounted. The file is re-read on each signal, the list of drives is compared with the previous one, and only a real change wakes the web UI.</w:t>
      </w:r>
    </w:p>
    <w:p>
      <w:pPr>
        <w:pStyle w:val="ListBullet"/>
        <w:numPr>
          <w:ilvl w:val="0"/>
          <w:numId w:val="1"/>
        </w:numPr>
        <w:rPr/>
      </w:pPr>
      <w:r>
        <w:rPr>
          <w:b/>
        </w:rPr>
        <w:t xml:space="preserve">Physical volumes only.</w:t>
      </w:r>
      <w:r>
        <w:rPr/>
        <w:t xml:space="preserve"> A mount is considered only if it lies below the media directory and its source is a block device under /dev. The device is resolved in /sys: anything under /sys/devices/virtual (loop, RAM, zram, network and similar) is ignored. A device-mapper volume, such as an unlocked LUKS drive, counts when one of its underlying devices is physical. Label, UUID, filesystem, model and bus come from the udev database (/run/udev), with sysfs as a fallback.</w:t>
      </w:r>
    </w:p>
    <w:p>
      <w:pPr>
        <w:pStyle w:val="ListBullet"/>
        <w:numPr>
          <w:ilvl w:val="0"/>
          <w:numId w:val="1"/>
        </w:numPr>
        <w:rPr/>
      </w:pPr>
      <w:r>
        <w:rPr>
          <w:b/>
        </w:rPr>
        <w:t xml:space="preserve">Enabling.</w:t>
      </w:r>
      <w:r>
        <w:rPr/>
        <w:t xml:space="preserve"> A new drive is listed as "New: not enabled" and a red count appears on the Drives link. Nothing uses a drive until an administrator presses Enable, which opens the Access page (see Publishing to SFTPGo) and, on save, marks the drive Available. Ignore hides a new drive, Disable withdraws an available drive, and Remove forgets a drive that is no longer mounted. Decisions are saved by filesystem UUID (or by mount point if there is none), so a drive that is plugged in again is Available at once, even after a gateway restart.</w:t>
      </w:r>
    </w:p>
    <w:p>
      <w:pPr>
        <w:pStyle w:val="ListBullet"/>
        <w:numPr>
          <w:ilvl w:val="0"/>
          <w:numId w:val="1"/>
        </w:numPr>
        <w:rPr/>
      </w:pPr>
      <w:r>
        <w:rPr>
          <w:b/>
        </w:rPr>
        <w:t xml:space="preserve">Live updates.</w:t>
      </w:r>
      <w:r>
        <w:rPr/>
        <w:t xml:space="preserve"> The Drives page opens a Server-Sent Events connection (/mlw/drives/events). When a drive is mounted, unmounted or decided on, the gateway sends a short message and the page fetches the table again and swaps it in; the rest of the page is untouched. An enabled drive that disappears stays listed as "Not mounted".</w:t>
      </w:r>
    </w:p>
    <w:p>
      <w:pPr>
        <w:pStyle w:val="ListBullet"/>
        <w:numPr>
          <w:ilvl w:val="0"/>
          <w:numId w:val="1"/>
        </w:numPr>
        <w:rPr/>
      </w:pPr>
      <w:r>
        <w:rPr>
          <w:b/>
        </w:rPr>
        <w:t xml:space="preserve">Adding a drive by hand.</w:t>
      </w:r>
      <w:r>
        <w:rPr/>
        <w:t xml:space="preserve"> For a volume that is mounted below the media directory but that detection does not report (a FUSE or exFAT-fuse mount, a network share, or a drive with no sysfs entry), the Drives page has an Add drive button that opens a dialog. Required fields are a name and the mount point (an absolute host path below the media directory). Device and file system are optional and default to what the kernel reports in mountinfo; a checkbox decides whether the drive is enabled at once. The gateway checks that the path is a directory that exists, that it does not resolve through a symlink to somewhere outside the media directory, that something is mounted exactly there, and that the drive was not already detected or added. The entry is stored in media.json under the key mp:&lt;mount point&gt; with a manual flag, and the mount table is re-read at once so that the page shows the drive without waiting for a mount event.</w:t>
      </w:r>
    </w:p>
    <w:p>
      <w:pPr>
        <w:pStyle w:val="ListBullet"/>
        <w:numPr>
          <w:ilvl w:val="0"/>
          <w:numId w:val="1"/>
        </w:numPr>
        <w:rPr/>
      </w:pPr>
      <w:r>
        <w:rPr>
          <w:b/>
        </w:rPr>
        <w:t xml:space="preserve">Manual drives behave like detected ones:</w:t>
      </w:r>
      <w:r>
        <w:rPr/>
        <w:t xml:space="preserve"> they are listed with "manual" in the Type column, can be disabled and enabled again, stay listed as "Not mounted" (or Disabled) when the volume goes away, and are deleted with Remove, which is always offered for a manual drive. They never raise the count on the Drives link, because an administrator created them.</w:t>
      </w:r>
    </w:p>
    <w:p>
      <w:pPr>
        <w:pStyle w:val="ListBullet"/>
        <w:numPr>
          <w:ilvl w:val="0"/>
          <w:numId w:val="1"/>
        </w:numPr>
        <w:rPr/>
      </w:pPr>
      <w:r>
        <w:rPr>
          <w:b/>
        </w:rPr>
        <w:t xml:space="preserve">No desktop pop-up.</w:t>
      </w:r>
      <w:r>
        <w:rPr/>
        <w:t xml:space="preserve"> The gateway runs in a container, which cannot show dialogs on the host desktop, so the question is asked on the Drives page only.</w:t>
      </w:r>
    </w:p>
    <w:p>
      <w:pPr>
        <w:pStyle w:val="ListBullet"/>
        <w:numPr>
          <w:ilvl w:val="0"/>
          <w:numId w:val="1"/>
        </w:numPr>
        <w:rPr/>
      </w:pPr>
      <w:r>
        <w:rPr>
          <w:b/>
        </w:rPr>
        <w:t xml:space="preserve">Publishing to SFTPGo. </w:t>
      </w:r>
      <w:r>
        <w:rPr/>
        <w:t>The overlay also bind-mounts the media directory read-write (rslave) into the sftpgo container at /srv/drives, and gives the gateway MEDIA_SFTPGO_DIR=/srv/drives. On the Access page the administrator picks SFTPGo users and, if Keycloak login is on, Keycloak realm roles, and may tick Read-only. On save the gateway uses the administrator's SFTPGo API token to (1) create or update a virtual folder mlw-drive-&lt;name&gt; whose mapped path is the drive's mount point as SFTPGo sees it, and (2) read each chosen user, add the folder at /drives/&lt;name&gt; and write the user back (SFTPGo keeps the password when none is sent); users that were chosen before and are not any more are detached. Read-write adds no permission entry, so the user's own permissions for / apply on the drive, and a read-only user stays read-only; Read-only sets list and download for the path. Disable and Remove detach the folder from the users and delete it (the files on the drive are not touched); if SFTPGo cannot be reached the drive keeps its state and the administrator sees the error.</w:t>
      </w:r>
    </w:p>
    <w:p>
      <w:pPr>
        <w:pStyle w:val="ListBullet"/>
        <w:numPr>
          <w:ilvl w:val="0"/>
          <w:numId w:val="1"/>
        </w:numPr>
        <w:rPr/>
      </w:pPr>
      <w:r>
        <w:rPr>
          <w:b/>
        </w:rPr>
        <w:t xml:space="preserve">Keycloak users and roles.</w:t>
      </w:r>
      <w:r>
        <w:rPr/>
        <w:t xml:space="preserve"> SFTPGo replaces a user's folders and permissions with what the authentication hook returns at every sign-in, so for users who log in with a token the hook (authHook) repeats the drives the user is entitled to: it asks the drive store for the enabled, mounted drives that name the token's sub or one of its realm roles and adds them as virtual_folders (with a permissions entry for read-only drives). The folder must already exist in SFTPGo, because a login that references a missing folder fails; it is created on the Access page. Roles are matched only at login, so a role change takes effect at the next sign-in.</w:t>
      </w:r>
    </w:p>
    <w:p>
      <w:pPr>
        <w:pStyle w:val="Heading1"/>
        <w:rPr/>
      </w:pPr>
      <w:bookmarkStart w:id="907" w:name="_Toc100007"/>
      <w:r>
        <w:rPr/>
        <w:t>4. How traffic flows</w:t>
      </w:r>
      <w:bookmarkEnd w:id="907"/>
    </w:p>
    <w:p>
      <w:pPr>
        <w:pStyle w:val="Heading2"/>
        <w:rPr/>
      </w:pPr>
      <w:bookmarkStart w:id="908" w:name="_Toc100008"/>
      <w:r>
        <w:rPr/>
        <w:t>4.1 Web and REST API</w:t>
      </w:r>
      <w:bookmarkEnd w:id="908"/>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9" w:name="_Toc100009"/>
      <w:r>
        <w:rPr/>
        <w:t>4.2 SFTP</w:t>
      </w:r>
      <w:bookmarkEnd w:id="909"/>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10" w:name="_Toc100010"/>
      <w:r>
        <w:rPr/>
        <w:t>4.3 FTP (optional)</w:t>
      </w:r>
      <w:bookmarkEnd w:id="910"/>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11" w:name="_Toc100011"/>
      <w:r>
        <w:rPr/>
        <w:t>4.4 WebDAV (optional)</w:t>
      </w:r>
      <w:bookmarkEnd w:id="911"/>
    </w:p>
    <w:p>
      <w:pPr>
        <w:pStyle w:val="Normal"/>
        <w:rPr/>
      </w:pPr>
      <w:r>
        <w:rPr/>
        <w:t>WebDAV is HTTP, so the gateway runs a second reverse proxy on port 10080 that forwards to sftpgo:10080.</w:t>
      </w:r>
    </w:p>
    <w:p>
      <w:pPr>
        <w:pStyle w:val="Heading2"/>
        <w:rPr/>
      </w:pPr>
      <w:bookmarkStart w:id="912" w:name="_Toc100012"/>
      <w:r>
        <w:rPr/>
        <w:t>4.5 Keycloak token login (optional)</w:t>
      </w:r>
      <w:bookmarkEnd w:id="912"/>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3" w:name="_Toc100013"/>
      <w:r>
        <w:rPr/>
        <w:t>4.6 Choosing the directory a user can open</w:t>
      </w:r>
      <w:bookmarkEnd w:id="913"/>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2"/>
        <w:rPr/>
      </w:pPr>
      <w:bookmarkStart w:id="914" w:name="_Toc100014"/>
      <w:r>
        <w:rPr/>
        <w:t>4.7 mlw-storage web UI sign-in</w:t>
      </w:r>
      <w:bookmarkEnd w:id="914"/>
    </w:p>
    <w:p>
      <w:pPr>
        <w:pStyle w:val="Normal"/>
        <w:rPr/>
      </w:pPr>
      <w:r>
        <w:rPr/>
        <w:t xml:space="preserve">A browser opens http://host:8380/ and is redirected to /mlw/login. The form is posted to the gateway, which calls SFTPGo's token endpoint with the credentials. On success the gateway creates a session, sets the cookie and redirects to /mlw/dashboard. Each Dashboard request then reads the user list from SFTPGo with the stored token. If SFTPGo reports the token invalid, the session is dropped and the browser is sent back to the sign-in page. The Keycloak token login and the storage API (4.5, 4.6) are separate and do not use these sessions.</w:t>
      </w:r>
    </w:p>
    <w:p>
      <w:pPr>
        <w:pStyle w:val="Heading2"/>
        <w:rPr/>
      </w:pPr>
      <w:bookmarkStart w:id="915" w:name="_Toc100015"/>
      <w:r>
        <w:rPr/>
        <w:t>4.8 Drive detection</w:t>
      </w:r>
      <w:bookmarkEnd w:id="915"/>
    </w:p>
    <w:p>
      <w:pPr>
        <w:pStyle w:val="Normal"/>
        <w:rPr/>
      </w:pPr>
      <w:r>
        <w:rPr/>
        <w:t xml:space="preserve">A drive is mounted on the host, and the mount appears under /host/media in the container. epoll_wait returns, the gateway re-reads mountinfo and finds a new physical volume. The Drives page, if open, is notified over its event stream, fetches the table and shows the drive as "New: not enabled"; every other page updates the count on the Drives link. When an administrator presses Enable, the page posts to /mlw/drives/enable (same-site requests with a valid session only), the gateway saves the decision in media.json and the page shows the drive as Available. When the drive is unmounted or ejected, the same path updates the page to "Not mounted".</w:t>
      </w:r>
    </w:p>
    <w:p>
      <w:pPr>
        <w:pStyle w:val="Normal"/>
        <w:rPr/>
      </w:pPr>
      <w:r>
        <w:rPr/>
        <w:t xml:space="preserve">To add a drive by hand, the administrator presses Add drive, fills in the dialog and submits it. The page posts the fields with fetch to /mlw/drives/add (same-site requests with a valid session only). On a validation problem the gateway answers 422 with a one-line message, which the dialog shows without closing; on success it answers 204, the dialog closes and the event stream refreshes the table.</w:t>
      </w:r>
    </w:p>
    <w:p>
      <w:pPr>
        <w:pStyle w:val="Normal"/>
        <w:rPr/>
      </w:pPr>
      <w:r>
        <w:rPr/>
        <w:t xml:space="preserve">To publish a drive, the administrator presses Enable (or Access). The page /mlw/drives/access lists the SFTPGo users (read with the session token), the role field if Keycloak login is on, and the Read-only box. On save it posts to /mlw/drives/access (same-site requests with a valid session only); the gateway validates the user names against SFTPGo, the role names against a strict pattern, and the drive against the mount table, then talks to SFTPGo and only afterwards saves the drive as Available with its share in media.json.</w:t>
      </w:r>
    </w:p>
    <w:p>
      <w:pPr>
        <w:pStyle w:val="Heading1"/>
        <w:rPr/>
      </w:pPr>
      <w:bookmarkStart w:id="916" w:name="_Toc100016"/>
      <w:r>
        <w:rPr/>
        <w:t>5. Ports</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(mlw-storage web UI, SFTPGo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7" w:name="_Toc100017"/>
      <w:r>
        <w:rPr/>
        <w:t>6. Configuration</w:t>
      </w:r>
      <w:bookmarkEnd w:id="917"/>
    </w:p>
    <w:p>
      <w:pPr>
        <w:pStyle w:val="Heading2"/>
        <w:rPr/>
      </w:pPr>
      <w:bookmarkStart w:id="918" w:name="_Toc100018"/>
      <w:r>
        <w:rPr/>
        <w:t>6.1 Operator settings (.env)</w:t>
      </w:r>
      <w:bookmarkEnd w:id="918"/>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(drive detection overlay); /run/media on Fedora and Arch</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devices (testing only)</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9" w:name="_Toc100019"/>
      <w:r>
        <w:rPr/>
        <w:t>6.2 Gateway settings</w:t>
      </w:r>
      <w:bookmarkEnd w:id="919"/>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 disables the mlw-storage web UI (/mlw/) and the redirect from /</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directory inside the container; setting it enables drive detection (the overlay sets /host/media)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MEDIA_HOST_DIR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directory on the host, shown to administrators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/var/lib/mlw-proxy/media.json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drive decisions are saved (volume proxy-state)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and other virtual devices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MEDIA_SFTPGO_DIR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media directory as the sftpgo container sees it (the overlay sets /srv/drives); setting it makes Enable publish the drive through SFTPGo</w:t>
            </w:r>
          </w:p>
        </w:tc>
      </w:tr>
    </w:tbl>
    <w:p>
      <w:pPr>
        <w:pStyle w:val="Normal"/>
        <w:rPr/>
      </w:pPr>
      <w:r>
        <w:rPr/>
      </w:r>
    </w:p>
    <w:p>
      <w:pPr>
        <w:pStyle w:val="Heading2"/>
        <w:rPr/>
      </w:pPr>
      <w:bookmarkStart w:id="920" w:name="_Toc100020"/>
      <w:r>
        <w:rPr/>
        <w:t>6.3 Keycloak settings (optional)</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21" w:name="_Toc100021"/>
      <w:r>
        <w:rPr/>
        <w:t>6.4 Production deployment (docker-compose.prod.yml)</w:t>
      </w:r>
      <w:bookmarkEnd w:id="921"/>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22" w:name="_Toc100022"/>
      <w:r>
        <w:rPr/>
        <w:t>7. Data and persistence</w:t>
      </w:r>
      <w:bookmarkEnd w:id="922"/>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 The drive detection feature saves the administrator's decisions about drives, by filesystem UUID (and drives added by hand, by mount point), in media.json in the same volume. Web UI sessions are held in memory only and are lost when the gateway restarts.</w:t>
      </w:r>
    </w:p>
    <w:p>
      <w:pPr>
        <w:pStyle w:val="Heading1"/>
        <w:rPr/>
      </w:pPr>
      <w:bookmarkStart w:id="923" w:name="_Toc100023"/>
      <w:r>
        <w:rPr/>
        <w:t>8. Security considerations</w:t>
      </w:r>
      <w:bookmarkEnd w:id="923"/>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ListBullet"/>
        <w:numPr>
          <w:ilvl w:val="0"/>
          <w:numId w:val="1"/>
        </w:numPr>
        <w:rPr/>
      </w:pPr>
      <w:r>
        <w:rPr/>
        <w:t xml:space="preserve">Web UI: administrator credentials are checked by SFTPGo and never stored by the gateway. The SFTPGo API token stays on the server; the browser holds only an HttpOnly, SameSite=Strict session cookie. Sign-in and logout require a same-site request, repeated failed sign-ins are throttled per client address, and pages are not cached. The gateway serves plain HTTP, so terminate TLS in front of it or the password and cookie travel unencrypted.</w:t>
      </w:r>
    </w:p>
    <w:p>
      <w:pPr>
        <w:pStyle w:val="ListBullet"/>
        <w:numPr>
          <w:ilvl w:val="0"/>
          <w:numId w:val="1"/>
        </w:numPr>
        <w:rPr/>
      </w:pPr>
      <w:r>
        <w:rPr/>
        <w:t>Drive detection: the media directory and /run/udev are mounted read-only, so the gateway cannot change a drive, and it never writes to one. The bind mount makes the host's media directory visible to the container, so enable the overlay only where that is acceptable. A drive is not used until an administrator enables it; the enable, ignore and remove calls need a signed-in session and a same-site request. Adding a drive by hand accepts only paths below the media directory, rejects symlinks that lead out of it and device names outside /dev, and limits the length of every field. Publishing gives the SFTPGo container read-write access to the whole media directory, but SFTPGo only serves the folders created for enabled drives. The gateway uses the signed-in administrator's token for every SFTPGo change and stores no SFTPGo credentials.</w:t>
      </w:r>
    </w:p>
    <w:p>
      <w:pPr>
        <w:pStyle w:val="Heading1"/>
        <w:rPr/>
      </w:pPr>
      <w:bookmarkStart w:id="924" w:name="_Toc100024"/>
      <w:r>
        <w:rPr/>
        <w:t>9. Operations</w:t>
      </w:r>
      <w:bookmarkEnd w:id="924"/>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 xml:space="preserve">Web UI: http://localhost:8380 shows the mlw-storage sign-in page; sign in with the SFTPGo admin account. The Dashboard lists the users, and its SFTPGo administration button (or http://localhost:8380/web/admin/) opens the SFTPGo console. Create SFTP users there,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5" w:name="_Toc100025"/>
      <w:r>
        <w:rPr/>
        <w:t>10. Limitations and possible next steps</w:t>
      </w:r>
      <w:bookmarkEnd w:id="925"/>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p>
      <w:pPr>
        <w:pStyle w:val="ListBullet"/>
        <w:numPr>
          <w:ilvl w:val="0"/>
          <w:numId w:val="1"/>
        </w:numPr>
        <w:spacing w:before="0" w:after="200"/>
        <w:contextualSpacing/>
        <w:rPr/>
      </w:pPr>
      <w:r>
        <w:rPr/>
        <w:t xml:space="preserve">Web UI: sessions are in memory and end at gateway restart. Any SFTPGo administrator who can list users sees the whole Dashboard; there are no per-admin roles. Administrators with two-factor authentication enabled cannot sign in to the mlw-storage UI. Signing in does not sign in to the SFTPGo console, which keeps its own login.</w:t>
      </w:r>
    </w:p>
    <w:p>
      <w:pPr>
        <w:pStyle w:val="ListBullet"/>
        <w:numPr>
          <w:ilvl w:val="0"/>
          <w:numId w:val="1"/>
        </w:numPr>
        <w:spacing w:before="0" w:after="200"/>
        <w:contextualSpacing/>
        <w:rPr/>
      </w:pPr>
      <w:r>
        <w:rPr/>
        <w:t>Drive detection: there is no desktop pop-up (the gateway is in a container). Used space is shown only if the container may read the mount point; desktop mounts are often readable only by the logged-in user, in which case only the device size is shown. Only drives mounted below the media directory are seen (a drive that is mounted there but not detected can be added by hand), and the host's / must have shared mount propagation. Unplugging a drive does not revoke its access: the gateway keeps no SFTPGo credentials to do so unattended, and SFTPGo reports errors for the missing directory until the drive is disabled. Roles are applied at the next sign-in. A mlw-drive-* folder deleted in the SFTPGo console makes Keycloak logins that reference it fail until the drive is saved again on the Access page. SFTPGo runs as uid 1000, so a drive must be writable by that user for read-write access.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