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60" w:before="0"/>
        <w:ind w:left="320"/>
      </w:pPr>
      <w:hyperlink w:anchor="_Toc100006" w:history="1">
        <w:r>
          <w:t xml:space="preserve">3.4 Drive detection (optional)</w:t>
        </w:r>
        <w:r>
          <w:tab/>
        </w:r>
        <w:r>
          <w:fldChar w:fldCharType="begin"/>
        </w:r>
        <w:r>
          <w:instrText xml:space="preserve"> PAGEREF _Toc100006 \h </w:instrText>
        </w:r>
        <w:r>
          <w:fldChar w:fldCharType="separate"/>
        </w:r>
        <w:r>
          <w:t xml:space="preserve">5</w:t>
        </w:r>
        <w:r>
          <w:fldChar w:fldCharType="end"/>
        </w:r>
      </w:hyperlink>
    </w:p>
    <w:p>
      <w:pPr>
        <w:tabs>
          <w:tab w:pos="9360" w:val="right" w:leader="dot"/>
        </w:tabs>
        <w:spacing w:after="80" w:before="120"/>
        <w:ind w:left="0"/>
      </w:pPr>
      <w:hyperlink w:anchor="_Toc100007" w:history="1">
        <w:r>
          <w:rPr>
            <w:b/>
          </w:rPr>
          <w:t xml:space="preserve">4. How traffic flows</w:t>
        </w:r>
        <w:r>
          <w:rPr>
            <w:b/>
          </w:rPr>
          <w:tab/>
        </w:r>
        <w:r>
          <w:rPr>
            <w:b/>
          </w:rPr>
          <w:fldChar w:fldCharType="begin"/>
        </w:r>
        <w:r>
          <w:rPr>
            <w:b/>
          </w:rPr>
          <w:instrText xml:space="preserve"> PAGEREF _Toc100007 \h </w:instrText>
        </w:r>
        <w:r>
          <w:rPr>
            <w:b/>
          </w:rPr>
          <w:fldChar w:fldCharType="separate"/>
        </w:r>
        <w:r>
          <w:rPr>
            <w:b/>
          </w:rPr>
          <w:t xml:space="preserve">7</w:t>
        </w:r>
        <w:r>
          <w:rPr>
            <w:b/>
          </w:rPr>
          <w:fldChar w:fldCharType="end"/>
        </w:r>
      </w:hyperlink>
    </w:p>
    <w:p>
      <w:pPr>
        <w:tabs>
          <w:tab w:pos="9360" w:val="right" w:leader="dot"/>
        </w:tabs>
        <w:spacing w:after="60" w:before="0"/>
        <w:ind w:left="320"/>
      </w:pPr>
      <w:hyperlink w:anchor="_Toc100008" w:history="1">
        <w:r>
          <w:t xml:space="preserve">4.1 Web and REST API</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320"/>
      </w:pPr>
      <w:hyperlink w:anchor="_Toc100009" w:history="1">
        <w:r>
          <w:t xml:space="preserve">4.2 SFTP</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320"/>
      </w:pPr>
      <w:hyperlink w:anchor="_Toc100010" w:history="1">
        <w:r>
          <w:t xml:space="preserve">4.3 FTP (optional)</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4.4 WebDAV (optional)</w:t>
        </w:r>
        <w:r>
          <w:tab/>
        </w:r>
        <w:r>
          <w:fldChar w:fldCharType="begin"/>
        </w:r>
        <w:r>
          <w:instrText xml:space="preserve"> PAGEREF _Toc100011 \h </w:instrText>
        </w:r>
        <w:r>
          <w:fldChar w:fldCharType="separate"/>
        </w:r>
        <w:r>
          <w:t xml:space="preserve">7</w:t>
        </w:r>
        <w:r>
          <w:fldChar w:fldCharType="end"/>
        </w:r>
      </w:hyperlink>
    </w:p>
    <w:p>
      <w:pPr>
        <w:tabs>
          <w:tab w:pos="9360" w:val="right" w:leader="dot"/>
        </w:tabs>
        <w:spacing w:after="60" w:before="0"/>
        <w:ind w:left="320"/>
      </w:pPr>
      <w:hyperlink w:anchor="_Toc100012" w:history="1">
        <w:r>
          <w:t xml:space="preserve">4.5 Keycloak token login (optional)</w:t>
        </w:r>
        <w:r>
          <w:tab/>
        </w:r>
        <w:r>
          <w:fldChar w:fldCharType="begin"/>
        </w:r>
        <w:r>
          <w:instrText xml:space="preserve"> PAGEREF _Toc100012 \h </w:instrText>
        </w:r>
        <w:r>
          <w:fldChar w:fldCharType="separate"/>
        </w:r>
        <w:r>
          <w:t xml:space="preserve">7</w:t>
        </w:r>
        <w:r>
          <w:fldChar w:fldCharType="end"/>
        </w:r>
      </w:hyperlink>
    </w:p>
    <w:p>
      <w:pPr>
        <w:tabs>
          <w:tab w:pos="9360" w:val="right" w:leader="dot"/>
        </w:tabs>
        <w:spacing w:after="60" w:before="0"/>
        <w:ind w:left="320"/>
      </w:pPr>
      <w:hyperlink w:anchor="_Toc100013" w:history="1">
        <w:r>
          <w:t xml:space="preserve">4.6 Choosing the directory a user can open</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4.7 mlw-storage web UI sign-in</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4.8 Drive detection</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80" w:before="120"/>
        <w:ind w:left="0"/>
      </w:pPr>
      <w:hyperlink w:anchor="_Toc100016" w:history="1">
        <w:r>
          <w:rPr>
            <w:b/>
          </w:rPr>
          <w:t xml:space="preserve">5. Ports</w:t>
        </w:r>
        <w:r>
          <w:rPr>
            <w:b/>
          </w:rPr>
          <w:tab/>
        </w:r>
        <w:r>
          <w:rPr>
            <w:b/>
          </w:rPr>
          <w:fldChar w:fldCharType="begin"/>
        </w:r>
        <w:r>
          <w:rPr>
            <w:b/>
          </w:rPr>
          <w:instrText xml:space="preserve"> PAGEREF _Toc100016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17" w:history="1">
        <w:r>
          <w:rPr>
            <w:b/>
          </w:rPr>
          <w:t xml:space="preserve">6. Configuration</w:t>
        </w:r>
        <w:r>
          <w:rPr>
            <w:b/>
          </w:rPr>
          <w:tab/>
        </w:r>
        <w:r>
          <w:rPr>
            <w:b/>
          </w:rPr>
          <w:fldChar w:fldCharType="begin"/>
        </w:r>
        <w:r>
          <w:rPr>
            <w:b/>
          </w:rPr>
          <w:instrText xml:space="preserve"> PAGEREF _Toc100017 \h </w:instrText>
        </w:r>
        <w:r>
          <w:rPr>
            <w:b/>
          </w:rPr>
          <w:fldChar w:fldCharType="separate"/>
        </w:r>
        <w:r>
          <w:rPr>
            <w:b/>
          </w:rPr>
          <w:t xml:space="preserve">10</w:t>
        </w:r>
        <w:r>
          <w:rPr>
            <w:b/>
          </w:rPr>
          <w:fldChar w:fldCharType="end"/>
        </w:r>
      </w:hyperlink>
    </w:p>
    <w:p>
      <w:pPr>
        <w:tabs>
          <w:tab w:pos="9360" w:val="right" w:leader="dot"/>
        </w:tabs>
        <w:spacing w:after="60" w:before="0"/>
        <w:ind w:left="320"/>
      </w:pPr>
      <w:hyperlink w:anchor="_Toc100018" w:history="1">
        <w:r>
          <w:t xml:space="preserve">6.1 Operator settings (.env)</w:t>
        </w:r>
        <w:r>
          <w:tab/>
        </w:r>
        <w:r>
          <w:fldChar w:fldCharType="begin"/>
        </w:r>
        <w:r>
          <w:instrText xml:space="preserve"> PAGEREF _Toc100018 \h </w:instrText>
        </w:r>
        <w:r>
          <w:fldChar w:fldCharType="separate"/>
        </w:r>
        <w:r>
          <w:t xml:space="preserve">10</w:t>
        </w:r>
        <w:r>
          <w:fldChar w:fldCharType="end"/>
        </w:r>
      </w:hyperlink>
    </w:p>
    <w:p>
      <w:pPr>
        <w:tabs>
          <w:tab w:pos="9360" w:val="right" w:leader="dot"/>
        </w:tabs>
        <w:spacing w:after="60" w:before="0"/>
        <w:ind w:left="320"/>
      </w:pPr>
      <w:hyperlink w:anchor="_Toc100019" w:history="1">
        <w:r>
          <w:t xml:space="preserve">6.2 Gateway settings</w:t>
        </w:r>
        <w:r>
          <w:tab/>
        </w:r>
        <w:r>
          <w:fldChar w:fldCharType="begin"/>
        </w:r>
        <w:r>
          <w:instrText xml:space="preserve"> PAGEREF _Toc100019 \h </w:instrText>
        </w:r>
        <w:r>
          <w:fldChar w:fldCharType="separate"/>
        </w:r>
        <w:r>
          <w:t xml:space="preserve">11</w:t>
        </w:r>
        <w:r>
          <w:fldChar w:fldCharType="end"/>
        </w:r>
      </w:hyperlink>
    </w:p>
    <w:p>
      <w:pPr>
        <w:tabs>
          <w:tab w:pos="9360" w:val="right" w:leader="dot"/>
        </w:tabs>
        <w:spacing w:after="60" w:before="0"/>
        <w:ind w:left="320"/>
      </w:pPr>
      <w:hyperlink w:anchor="_Toc100020" w:history="1">
        <w:r>
          <w:t xml:space="preserve">6.3 Keycloak settings (optional)</w:t>
        </w:r>
        <w:r>
          <w:tab/>
        </w:r>
        <w:r>
          <w:fldChar w:fldCharType="begin"/>
        </w:r>
        <w:r>
          <w:instrText xml:space="preserve"> PAGEREF _Toc100020 \h </w:instrText>
        </w:r>
        <w:r>
          <w:fldChar w:fldCharType="separate"/>
        </w:r>
        <w:r>
          <w:t xml:space="preserve">11</w:t>
        </w:r>
        <w:r>
          <w:fldChar w:fldCharType="end"/>
        </w:r>
      </w:hyperlink>
    </w:p>
    <w:p>
      <w:pPr>
        <w:tabs>
          <w:tab w:pos="9360" w:val="right" w:leader="dot"/>
        </w:tabs>
        <w:spacing w:after="60" w:before="0"/>
        <w:ind w:left="320"/>
      </w:pPr>
      <w:hyperlink w:anchor="_Toc100021" w:history="1">
        <w:r>
          <w:t xml:space="preserve">6.4 Production deployment (docker-compose.prod.yml)</w:t>
        </w:r>
        <w:r>
          <w:tab/>
        </w:r>
        <w:r>
          <w:fldChar w:fldCharType="begin"/>
        </w:r>
        <w:r>
          <w:instrText xml:space="preserve"> PAGEREF _Toc100021 \h </w:instrText>
        </w:r>
        <w:r>
          <w:fldChar w:fldCharType="separate"/>
        </w:r>
        <w:r>
          <w:t xml:space="preserve">12</w:t>
        </w:r>
        <w:r>
          <w:fldChar w:fldCharType="end"/>
        </w:r>
      </w:hyperlink>
    </w:p>
    <w:p>
      <w:pPr>
        <w:tabs>
          <w:tab w:pos="9360" w:val="right" w:leader="dot"/>
        </w:tabs>
        <w:spacing w:after="80" w:before="120"/>
        <w:ind w:left="0"/>
      </w:pPr>
      <w:hyperlink w:anchor="_Toc100022" w:history="1">
        <w:r>
          <w:rPr>
            <w:b/>
          </w:rPr>
          <w:t xml:space="preserve">7. Data and persistence</w:t>
        </w:r>
        <w:r>
          <w:rPr>
            <w:b/>
          </w:rPr>
          <w:tab/>
        </w:r>
        <w:r>
          <w:rPr>
            <w:b/>
          </w:rPr>
          <w:fldChar w:fldCharType="begin"/>
        </w:r>
        <w:r>
          <w:rPr>
            <w:b/>
          </w:rPr>
          <w:instrText xml:space="preserve"> PAGEREF _Toc100022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23" w:history="1">
        <w:r>
          <w:rPr>
            <w:b/>
          </w:rPr>
          <w:t xml:space="preserve">8. Security considerations</w:t>
        </w:r>
        <w:r>
          <w:rPr>
            <w:b/>
          </w:rPr>
          <w:tab/>
        </w:r>
        <w:r>
          <w:rPr>
            <w:b/>
          </w:rPr>
          <w:fldChar w:fldCharType="begin"/>
        </w:r>
        <w:r>
          <w:rPr>
            <w:b/>
          </w:rPr>
          <w:instrText xml:space="preserve"> PAGEREF _Toc100023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24" w:history="1">
        <w:r>
          <w:rPr>
            <w:b/>
          </w:rPr>
          <w:t xml:space="preserve">9. Operations</w:t>
        </w:r>
        <w:r>
          <w:rPr>
            <w:b/>
          </w:rPr>
          <w:tab/>
        </w:r>
        <w:r>
          <w:rPr>
            <w:b/>
          </w:rPr>
          <w:fldChar w:fldCharType="begin"/>
        </w:r>
        <w:r>
          <w:rPr>
            <w:b/>
          </w:rPr>
          <w:instrText xml:space="preserve"> PAGEREF _Toc100024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5" w:history="1">
        <w:r>
          <w:rPr>
            <w:b/>
          </w:rPr>
          <w:t xml:space="preserve">10. Limitations and possible next steps</w:t>
        </w:r>
        <w:r>
          <w:rPr>
            <w:b/>
          </w:rPr>
          <w:tab/>
        </w:r>
        <w:r>
          <w:rPr>
            <w:b/>
          </w:rPr>
          <w:fldChar w:fldCharType="begin"/>
        </w:r>
        <w:r>
          <w:rPr>
            <w:b/>
          </w:rPr>
          <w:instrText xml:space="preserve"> PAGEREF _Toc100025 \h </w:instrText>
        </w:r>
        <w:r>
          <w:rPr>
            <w:b/>
          </w:rPr>
          <w:fldChar w:fldCharType="separate"/>
        </w:r>
        <w:r>
          <w:rPr>
            <w:b/>
          </w:rPr>
          <w:t xml:space="preserve">15</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  - drive detection [optional]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It has two pages.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and a button that opens the SFTPGo administration console. An account icon at the top right shows the signed-in name and opens a menu with Logout.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closes the account menu and switches between tables, matched by hash.</w:t>
      </w:r>
    </w:p>
    <w:p>
      <w:pPr>
        <w:pStyle w:val="ListBullet"/>
        <w:numPr>
          <w:ilvl w:val="0"/>
          <w:numId w:val="1"/>
        </w:numPr>
        <w:rPr/>
      </w:pPr>
      <w:r>
        <w:rPr>
          <w:b/>
        </w:rPr>
        <w:t xml:space="preserve">SFTPGo console.</w:t>
      </w:r>
      <w:r>
        <w:rPr/>
        <w:t xml:space="preserve"> The Dashboard button opens SFTPGo's own admin console at /web/admin/, which keeps its separate sign-in.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2"/>
        <w:rPr/>
      </w:pPr>
      <w:bookmarkStart w:id="906" w:name="_Toc100006"/>
      <w:r>
        <w:rPr/>
        <w:t>3.4 Drive detection (optional)</w:t>
      </w:r>
      <w:bookmarkEnd w:id="906"/>
    </w:p>
    <w:p>
      <w:pPr>
        <w:pStyle w:val="Normal"/>
        <w:rPr/>
      </w:pPr>
      <w:r>
        <w:rPr/>
        <w:t xml:space="preserve">While mlw-storage runs, the gateway can notice physical drives (USB sticks, external disks, extra internal disks) that are mounted on the host and offer them on a Drives page of the web UI, next to the Dashboard. The feature is disabled by default. It is switched on by adding the overlay file docker-compose.media.yml to COMPOSE_FILE, which gives the gateway container read-only access to the host's media directory and to the udev database.</w:t>
      </w:r>
    </w:p>
    <w:p>
      <w:pPr>
        <w:pStyle w:val="ListBullet"/>
        <w:numPr>
          <w:ilvl w:val="0"/>
          <w:numId w:val="1"/>
        </w:numPr>
        <w:rPr/>
      </w:pPr>
      <w:r>
        <w:rPr>
          <w:b/>
        </w:rPr>
        <w:t xml:space="preserve">Seeing host mounts.</w:t>
      </w:r>
      <w:r>
        <w:rPr/>
        <w:t xml:space="preserve"> The host media directory (/media, or MLW_MEDIA_DIR) is bind-mounted read-only at /host/media with rslave propagation. Drives that the desktop mounts there then also appear inside the container and in its /proc/self/mountinfo. The host's / must be a shared mount, which is the systemd default.</w:t>
      </w:r>
    </w:p>
    <w:p>
      <w:pPr>
        <w:pStyle w:val="ListBullet"/>
        <w:numPr>
          <w:ilvl w:val="0"/>
          <w:numId w:val="1"/>
        </w:numPr>
        <w:rPr/>
      </w:pPr>
      <w:r>
        <w:rPr>
          <w:b/>
        </w:rPr>
        <w:t xml:space="preserve">Zero CPU while idle.</w:t>
      </w:r>
      <w:r>
        <w:rPr/>
        <w:t xml:space="preserve"> One goroutine sleeps in epoll_wait on /proc/self/mountinfo. The kernel signals POLLPRI|POLLERR on that file whenever the mount table changes, so the gateway only does work when a drive is mounted or unmounted. The file is re-read on each signal, the list of drives is compared with the previous one, and only a real change wakes the web UI.</w:t>
      </w:r>
    </w:p>
    <w:p>
      <w:pPr>
        <w:pStyle w:val="ListBullet"/>
        <w:numPr>
          <w:ilvl w:val="0"/>
          <w:numId w:val="1"/>
        </w:numPr>
        <w:rPr/>
      </w:pPr>
      <w:r>
        <w:rPr>
          <w:b/>
        </w:rPr>
        <w:t xml:space="preserve">Physical volumes only.</w:t>
      </w:r>
      <w:r>
        <w:rPr/>
        <w:t xml:space="preserve"> A mount is considered only if it lies below the media directory and its source is a block device under /dev. The device is resolved in /sys: anything under /sys/devices/virtual (loop, RAM, zram, network and similar) is ignored. A device-mapper volume, such as an unlocked LUKS drive, counts when one of its underlying devices is physical. Label, UUID, filesystem, model and bus come from the udev database (/run/udev), with sysfs as a fallback.</w:t>
      </w:r>
    </w:p>
    <w:p>
      <w:pPr>
        <w:pStyle w:val="ListBullet"/>
        <w:numPr>
          <w:ilvl w:val="0"/>
          <w:numId w:val="1"/>
        </w:numPr>
        <w:rPr/>
      </w:pPr>
      <w:r>
        <w:rPr>
          <w:b/>
        </w:rPr>
        <w:t xml:space="preserve">Enabling.</w:t>
      </w:r>
      <w:r>
        <w:rPr/>
        <w:t xml:space="preserve"> A new drive is listed as "New: not enabled" and a red count appears on the Drives link. Nothing uses a drive until an administrator presses Enable, which marks it Available. Ignore hides it, Disable turns an available drive off, and Remove forgets a drive that is no longer mounted. Decisions are saved by filesystem UUID (or by mount point if there is none), so a drive that is plugged in again is Available at once, even after a gateway restart.</w:t>
      </w:r>
    </w:p>
    <w:p>
      <w:pPr>
        <w:pStyle w:val="ListBullet"/>
        <w:numPr>
          <w:ilvl w:val="0"/>
          <w:numId w:val="1"/>
        </w:numPr>
        <w:rPr/>
      </w:pPr>
      <w:r>
        <w:rPr>
          <w:b/>
        </w:rPr>
        <w:t xml:space="preserve">Live updates.</w:t>
      </w:r>
      <w:r>
        <w:rPr/>
        <w:t xml:space="preserve"> The Drives page opens a Server-Sent Events connection (/mlw/drives/events). When a drive is mounted, unmounted or decided on, the gateway sends a short message and the page fetches the table again and swaps it in; the rest of the page is untouched. An enabled drive that disappears stays listed as "Not mounted".</w:t>
      </w:r>
    </w:p>
    <w:p>
      <w:pPr>
        <w:pStyle w:val="ListBullet"/>
        <w:numPr>
          <w:ilvl w:val="0"/>
          <w:numId w:val="1"/>
        </w:numPr>
        <w:rPr/>
      </w:pPr>
      <w:r>
        <w:rPr>
          <w:b/>
        </w:rPr>
        <w:t xml:space="preserve">Adding a drive by hand.</w:t>
      </w:r>
      <w:r>
        <w:rPr/>
        <w:t xml:space="preserve"> For a volume that is mounted below the media directory but that detection does not report (a FUSE or exFAT-fuse mount, a network share, or a drive with no sysfs entry), the Drives page has an Add drive button that opens a dialog. Required fields are a name and the mount point (an absolute host path below the media directory). Device and file system are optional and default to what the kernel reports in mountinfo; a checkbox decides whether the drive is enabled at once. The gateway checks that the path is a directory that exists, that it does not resolve through a symlink to somewhere outside the media directory, that something is mounted exactly there, and that the drive was not already detected or added. The entry is stored in media.json under the key mp:&lt;mount point&gt; with a manual flag, and the mount table is re-read at once so that the page shows the drive without waiting for a mount event.</w:t>
      </w:r>
    </w:p>
    <w:p>
      <w:pPr>
        <w:pStyle w:val="ListBullet"/>
        <w:numPr>
          <w:ilvl w:val="0"/>
          <w:numId w:val="1"/>
        </w:numPr>
        <w:rPr/>
      </w:pPr>
      <w:r>
        <w:rPr>
          <w:b/>
        </w:rPr>
        <w:t xml:space="preserve">Manual drives behave like detected ones:</w:t>
      </w:r>
      <w:r>
        <w:rPr/>
        <w:t xml:space="preserve"> they are listed with "manual" in the Type column, can be disabled and enabled again, stay listed as "Not mounted" (or Disabled) when the volume goes away, and are deleted with Remove, which is always offered for a manual drive. They never raise the count on the Drives link, because an administrator created them.</w:t>
      </w:r>
    </w:p>
    <w:p>
      <w:pPr>
        <w:pStyle w:val="ListBullet"/>
        <w:numPr>
          <w:ilvl w:val="0"/>
          <w:numId w:val="1"/>
        </w:numPr>
        <w:rPr/>
      </w:pPr>
      <w:r>
        <w:rPr>
          <w:b/>
        </w:rPr>
        <w:t xml:space="preserve">No desktop pop-up.</w:t>
      </w:r>
      <w:r>
        <w:rPr/>
        <w:t xml:space="preserve"> The gateway runs in a container, which cannot show dialogs on the host desktop, so the question is asked on the Drives page only.</w:t>
      </w:r>
    </w:p>
    <w:p>
      <w:pPr>
        <w:pStyle w:val="ListBullet"/>
        <w:numPr>
          <w:ilvl w:val="0"/>
          <w:numId w:val="1"/>
        </w:numPr>
        <w:rPr/>
      </w:pPr>
      <w:r>
        <w:rPr>
          <w:b/>
        </w:rPr>
        <w:t xml:space="preserve">Not connected to SFTPGo yet.</w:t>
      </w:r>
      <w:r>
        <w:rPr/>
        <w:t xml:space="preserve"> Enabling a drive records the decision and marks the drive available in the web UI. Its files are not published to SFTPGo users.</w:t>
      </w:r>
    </w:p>
    <w:p>
      <w:pPr>
        <w:pStyle w:val="Heading1"/>
        <w:rPr/>
      </w:pPr>
      <w:bookmarkStart w:id="907" w:name="_Toc100007"/>
      <w:r>
        <w:rPr/>
        <w:t>4. How traffic flows</w:t>
      </w:r>
      <w:bookmarkEnd w:id="907"/>
    </w:p>
    <w:p>
      <w:pPr>
        <w:pStyle w:val="Heading2"/>
        <w:rPr/>
      </w:pPr>
      <w:bookmarkStart w:id="908" w:name="_Toc100008"/>
      <w:r>
        <w:rPr/>
        <w:t>4.1 Web and REST API</w:t>
      </w:r>
      <w:bookmarkEnd w:id="908"/>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9" w:name="_Toc100009"/>
      <w:r>
        <w:rPr/>
        <w:t>4.2 SFTP</w:t>
      </w:r>
      <w:bookmarkEnd w:id="909"/>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10" w:name="_Toc100010"/>
      <w:r>
        <w:rPr/>
        <w:t>4.3 FTP (optional)</w:t>
      </w:r>
      <w:bookmarkEnd w:id="910"/>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1" w:name="_Toc100011"/>
      <w:r>
        <w:rPr/>
        <w:t>4.4 WebDAV (optional)</w:t>
      </w:r>
      <w:bookmarkEnd w:id="911"/>
    </w:p>
    <w:p>
      <w:pPr>
        <w:pStyle w:val="Normal"/>
        <w:rPr/>
      </w:pPr>
      <w:r>
        <w:rPr/>
        <w:t>WebDAV is HTTP, so the gateway runs a second reverse proxy on port 10080 that forwards to sftpgo:10080.</w:t>
      </w:r>
    </w:p>
    <w:p>
      <w:pPr>
        <w:pStyle w:val="Heading2"/>
        <w:rPr/>
      </w:pPr>
      <w:bookmarkStart w:id="912" w:name="_Toc100012"/>
      <w:r>
        <w:rPr/>
        <w:t>4.5 Keycloak token login (optional)</w:t>
      </w:r>
      <w:bookmarkEnd w:id="912"/>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3" w:name="_Toc100013"/>
      <w:r>
        <w:rPr/>
        <w:t>4.6 Choosing the directory a user can open</w:t>
      </w:r>
      <w:bookmarkEnd w:id="913"/>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4" w:name="_Toc100014"/>
      <w:r>
        <w:rPr/>
        <w:t>4.7 mlw-storage web UI sign-in</w:t>
      </w:r>
      <w:bookmarkEnd w:id="914"/>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2"/>
        <w:rPr/>
      </w:pPr>
      <w:bookmarkStart w:id="915" w:name="_Toc100015"/>
      <w:r>
        <w:rPr/>
        <w:t>4.8 Drive detection</w:t>
      </w:r>
      <w:bookmarkEnd w:id="915"/>
    </w:p>
    <w:p>
      <w:pPr>
        <w:pStyle w:val="Normal"/>
        <w:rPr/>
      </w:pPr>
      <w:r>
        <w:rPr/>
        <w:t xml:space="preserve">A drive is mounted on the host, and the mount appears under /host/media in the container. epoll_wait returns, the gateway re-reads mountinfo and finds a new physical volume. The Drives page, if open, is notified over its event stream, fetches the table and shows the drive as "New: not enabled"; every other page updates the count on the Drives link. When an administrator presses Enable, the page posts to /mlw/drives/enable (same-site requests with a valid session only), the gateway saves the decision in media.json and the page shows the drive as Available. When the drive is unmounted or ejected, the same path updates the page to "Not mounted".</w:t>
      </w:r>
    </w:p>
    <w:p>
      <w:pPr>
        <w:pStyle w:val="Normal"/>
        <w:rPr/>
      </w:pPr>
      <w:r>
        <w:rPr/>
        <w:t xml:space="preserve">To add a drive by hand, the administrator presses Add drive, fills in the dialog and submits it. The page posts the fields with fetch to /mlw/drives/add (same-site requests with a valid session only). On a validation problem the gateway answers 422 with a one-line message, which the dialog shows without closing; on success it answers 204, the dialog closes and the event stream refreshes the table.</w:t>
      </w:r>
    </w:p>
    <w:p>
      <w:pPr>
        <w:pStyle w:val="Heading1"/>
        <w:rPr/>
      </w:pPr>
      <w:bookmarkStart w:id="916" w:name="_Toc100016"/>
      <w:r>
        <w:rPr/>
        <w:t>5. Ports</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7" w:name="_Toc100017"/>
      <w:r>
        <w:rPr/>
        <w:t>6. Configuration</w:t>
      </w:r>
      <w:bookmarkEnd w:id="917"/>
    </w:p>
    <w:p>
      <w:pPr>
        <w:pStyle w:val="Heading2"/>
        <w:rPr/>
      </w:pPr>
      <w:bookmarkStart w:id="918" w:name="_Toc100018"/>
      <w:r>
        <w:rPr/>
        <w:t>6.1 Operator settings (.env)</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(drive detection overlay); /run/media on Fedora and Arch</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devices (testing only)</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9" w:name="_Toc100019"/>
      <w:r>
        <w:rPr/>
        <w:t>6.2 Gateway settings</w:t>
      </w:r>
      <w:bookmarkEnd w:id="91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directory inside the container; setting it enables drive detection (the overlay sets /host/media)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MEDIA_HOST_DIR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directory on the host, shown to administrators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/var/lib/mlw-proxy/media.json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drive decisions are saved (volume proxy-state)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and other virtual devices</w:t>
            </w:r>
          </w:p>
        </w:tc>
      </w:tr>
    </w:tbl>
    <w:p>
      <w:pPr>
        <w:pStyle w:val="Normal"/>
        <w:rPr/>
      </w:pPr>
      <w:r>
        <w:rPr/>
      </w:r>
    </w:p>
    <w:p>
      <w:pPr>
        <w:pStyle w:val="Heading2"/>
        <w:rPr/>
      </w:pPr>
      <w:bookmarkStart w:id="920" w:name="_Toc100020"/>
      <w:r>
        <w:rPr/>
        <w:t>6.3 Keycloak settings (optional)</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21" w:name="_Toc100021"/>
      <w:r>
        <w:rPr/>
        <w:t>6.4 Production deployment (docker-compose.prod.yml)</w:t>
      </w:r>
      <w:bookmarkEnd w:id="921"/>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2" w:name="_Toc100022"/>
      <w:r>
        <w:rPr/>
        <w:t>7. Data and persistence</w:t>
      </w:r>
      <w:bookmarkEnd w:id="922"/>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The drive detection feature saves the administrator's decisions about drives, by filesystem UUID (and drives added by hand, by mount point), in media.json in the same volume. Web UI sessions are held in memory only and are lost when the gateway restarts.</w:t>
      </w:r>
    </w:p>
    <w:p>
      <w:pPr>
        <w:pStyle w:val="Heading1"/>
        <w:rPr/>
      </w:pPr>
      <w:bookmarkStart w:id="923" w:name="_Toc100023"/>
      <w:r>
        <w:rPr/>
        <w:t>8. Security considerations</w:t>
      </w:r>
      <w:bookmarkEnd w:id="923"/>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ListBullet"/>
        <w:numPr>
          <w:ilvl w:val="0"/>
          <w:numId w:val="1"/>
        </w:numPr>
        <w:rPr/>
      </w:pPr>
      <w:r>
        <w:rPr/>
        <w:t>Drive detection: the media directory and /run/udev are mounted read-only, so the gateway cannot change a drive, and it never writes to one. The bind mount makes the host's media directory visible to the container, so enable the overlay only where that is acceptable. A drive is not used until an administrator enables it; the enable, ignore and remove calls need a signed-in session and a same-site request. Adding a drive by hand accepts only paths below the media directory, rejects symlinks that lead out of it and device names outside /dev, and limits the length of every field.</w:t>
      </w:r>
    </w:p>
    <w:p>
      <w:pPr>
        <w:pStyle w:val="Heading1"/>
        <w:rPr/>
      </w:pPr>
      <w:bookmarkStart w:id="924" w:name="_Toc100024"/>
      <w:r>
        <w:rPr/>
        <w:t>9. Operations</w:t>
      </w:r>
      <w:bookmarkEnd w:id="924"/>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 xml:space="preserve">Web UI: http://localhost:8380 shows the mlw-storage sign-in page; sign in with the SFTPGo admin account. The Dashboard lists the users, and its SFTPGo administration button (or http://localhost:8380/web/admin/) opens the SFTPGo console.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5" w:name="_Toc100025"/>
      <w:r>
        <w:rPr/>
        <w:t>10. Limitations and possible next steps</w:t>
      </w:r>
      <w:bookmarkEnd w:id="925"/>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 xml:space="preserve">Web UI: sessions are in memory and end at gateway restart. Any SFTPGo administrator who can list users sees the whole Dashboard; there are no per-admin roles. Administrators with two-factor authentication enabled cannot sign in to the mlw-storage UI. Signing in does not sign in to the SFTPGo console, which keeps its own login.</w:t>
      </w:r>
    </w:p>
    <w:p>
      <w:pPr>
        <w:pStyle w:val="ListBullet"/>
        <w:numPr>
          <w:ilvl w:val="0"/>
          <w:numId w:val="1"/>
        </w:numPr>
        <w:spacing w:before="0" w:after="200"/>
        <w:contextualSpacing/>
        <w:rPr/>
      </w:pPr>
      <w:r>
        <w:rPr/>
        <w:t>Drive detection: there is no desktop pop-up (the gateway is in a container). Used space is shown only if the container may read the mount point; desktop mounts are often readable only by the logged-in user, in which case only the device size is shown. Only drives mounted below the media directory are seen (a drive that is mounted there but not detected can be added by hand), and the host's / must have shared mount propagation. Enabling a drive does not yet publish its files through SFTPGo.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