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3400" w:after="120"/>
        <w:jc w:val="left"/>
        <w:rPr/>
      </w:pPr>
      <w:r>
        <w:rPr>
          <w:b/>
          <w:color w:val="1F3A5F"/>
          <w:sz w:val="64"/>
        </w:rPr>
        <w:t>MLW Platform Architecture</w:t>
      </w:r>
    </w:p>
    <w:p>
      <w:pPr>
        <w:pStyle w:val="Normal"/>
        <w:spacing w:before="0" w:after="1200"/>
        <w:jc w:val="left"/>
        <w:rPr/>
      </w:pPr>
      <w:r>
        <w:rPr>
          <w:b w:val="false"/>
          <w:color w:val="595959"/>
          <w:sz w:val="32"/>
        </w:rPr>
        <w:t>Magic Lantern Workbench: mlw-storage</w:t>
      </w:r>
    </w:p>
    <w:p>
      <w:pPr>
        <w:pStyle w:val="Normal"/>
        <w:spacing w:before="0" w:after="40"/>
        <w:jc w:val="left"/>
        <w:rPr/>
      </w:pPr>
      <w:r>
        <w:rPr>
          <w:b w:val="false"/>
          <w:color w:val="595959"/>
          <w:sz w:val="24"/>
        </w:rPr>
        <w:t>Version 1.0.0</w:t>
      </w:r>
    </w:p>
    <w:p>
      <w:pPr>
        <w:pStyle w:val="Normal"/>
        <w:spacing w:before="0" w:after="40"/>
        <w:jc w:val="left"/>
        <w:rPr/>
      </w:pPr>
      <w:r>
        <w:rPr>
          <w:b w:val="false"/>
          <w:color w:val="595959"/>
          <w:sz w:val="24"/>
        </w:rPr>
        <w:t>2026-10-19</w:t>
      </w:r>
    </w:p>
    <w:p>
      <w:pPr>
        <w:pStyle w:val="Normal"/>
        <w:spacing w:before="0" w:after="0"/>
        <w:jc w:val="left"/>
        <w:rPr/>
      </w:pPr>
      <w:r>
        <w:rPr>
          <w:b w:val="false"/>
          <w:color w:val="595959"/>
          <w:sz w:val="24"/>
        </w:rPr>
        <w:t>github.com/magic-lantern-workbench/mlw-storage</w:t>
      </w:r>
      <w:r>
        <w:br w:type="page"/>
      </w:r>
    </w:p>
    <w:p>
      <w:pPr>
        <w:spacing w:after="240"/>
      </w:pPr>
      <w:r>
        <w:rPr>
          <w:b/>
          <w:color w:val="1F3A5F"/>
          <w:sz w:val="40"/>
        </w:rPr>
        <w:t>Table of Contents</w:t>
      </w:r>
    </w:p>
    <w:p>
      <w:pPr>
        <w:tabs>
          <w:tab w:pos="9360" w:val="right" w:leader="dot"/>
        </w:tabs>
        <w:spacing w:after="80" w:before="120"/>
        <w:ind w:left="0"/>
      </w:pPr>
      <w:r>
        <w:fldChar w:fldCharType="begin"/>
      </w:r>
      <w:r>
        <w:instrText xml:space="preserve"> TOC \o "1-3" \h \z \u </w:instrText>
      </w:r>
      <w:r>
        <w:fldChar w:fldCharType="separate"/>
      </w:r>
      <w:hyperlink w:anchor="_Toc100000" w:history="1">
        <w:r>
          <w:rPr>
            <w:b/>
          </w:rPr>
          <w:t xml:space="preserve">1. Overview</w:t>
        </w:r>
        <w:r>
          <w:rPr>
            <w:b/>
          </w:rPr>
          <w:tab/>
        </w:r>
        <w:r>
          <w:rPr>
            <w:b/>
          </w:rPr>
          <w:fldChar w:fldCharType="begin"/>
        </w:r>
        <w:r>
          <w:rPr>
            <w:b/>
          </w:rPr>
          <w:instrText xml:space="preserve"> PAGEREF _Toc100000 \h </w:instrText>
        </w:r>
        <w:r>
          <w:rPr>
            <w:b/>
          </w:rPr>
          <w:fldChar w:fldCharType="separate"/>
        </w:r>
        <w:r>
          <w:rPr>
            <w:b/>
          </w:rPr>
          <w:t xml:space="preserve">3</w:t>
        </w:r>
        <w:r>
          <w:rPr>
            <w:b/>
          </w:rPr>
          <w:fldChar w:fldCharType="end"/>
        </w:r>
      </w:hyperlink>
    </w:p>
    <w:p>
      <w:pPr>
        <w:tabs>
          <w:tab w:pos="9360" w:val="right" w:leader="dot"/>
        </w:tabs>
        <w:spacing w:after="80" w:before="120"/>
        <w:ind w:left="0"/>
      </w:pPr>
      <w:hyperlink w:anchor="_Toc100001" w:history="1">
        <w:r>
          <w:rPr>
            <w:b/>
          </w:rPr>
          <w:t xml:space="preserve">2. Architecture</w:t>
        </w:r>
        <w:r>
          <w:rPr>
            <w:b/>
          </w:rPr>
          <w:tab/>
        </w:r>
        <w:r>
          <w:rPr>
            <w:b/>
          </w:rPr>
          <w:fldChar w:fldCharType="begin"/>
        </w:r>
        <w:r>
          <w:rPr>
            <w:b/>
          </w:rPr>
          <w:instrText xml:space="preserve"> PAGEREF _Toc100001 \h </w:instrText>
        </w:r>
        <w:r>
          <w:rPr>
            <w:b/>
          </w:rPr>
          <w:fldChar w:fldCharType="separate"/>
        </w:r>
        <w:r>
          <w:rPr>
            <w:b/>
          </w:rPr>
          <w:t xml:space="preserve">3</w:t>
        </w:r>
        <w:r>
          <w:rPr>
            <w:b/>
          </w:rPr>
          <w:fldChar w:fldCharType="end"/>
        </w:r>
      </w:hyperlink>
    </w:p>
    <w:p>
      <w:pPr>
        <w:tabs>
          <w:tab w:pos="9360" w:val="right" w:leader="dot"/>
        </w:tabs>
        <w:spacing w:after="80" w:before="120"/>
        <w:ind w:left="0"/>
      </w:pPr>
      <w:hyperlink w:anchor="_Toc100002" w:history="1">
        <w:r>
          <w:rPr>
            <w:b/>
          </w:rPr>
          <w:t xml:space="preserve">3. Components</w:t>
        </w:r>
        <w:r>
          <w:rPr>
            <w:b/>
          </w:rPr>
          <w:tab/>
        </w:r>
        <w:r>
          <w:rPr>
            <w:b/>
          </w:rPr>
          <w:fldChar w:fldCharType="begin"/>
        </w:r>
        <w:r>
          <w:rPr>
            <w:b/>
          </w:rPr>
          <w:instrText xml:space="preserve"> PAGEREF _Toc100002 \h </w:instrText>
        </w:r>
        <w:r>
          <w:rPr>
            <w:b/>
          </w:rPr>
          <w:fldChar w:fldCharType="separate"/>
        </w:r>
        <w:r>
          <w:rPr>
            <w:b/>
          </w:rPr>
          <w:t xml:space="preserve">3</w:t>
        </w:r>
        <w:r>
          <w:rPr>
            <w:b/>
          </w:rPr>
          <w:fldChar w:fldCharType="end"/>
        </w:r>
      </w:hyperlink>
    </w:p>
    <w:p>
      <w:pPr>
        <w:tabs>
          <w:tab w:pos="9360" w:val="right" w:leader="dot"/>
        </w:tabs>
        <w:spacing w:after="60" w:before="0"/>
        <w:ind w:left="320"/>
      </w:pPr>
      <w:hyperlink w:anchor="_Toc100003" w:history="1">
        <w:r>
          <w:t xml:space="preserve">3.1 SFTPGo</w:t>
        </w:r>
        <w:r>
          <w:tab/>
        </w:r>
        <w:r>
          <w:fldChar w:fldCharType="begin"/>
        </w:r>
        <w:r>
          <w:instrText xml:space="preserve"> PAGEREF _Toc100003 \h </w:instrText>
        </w:r>
        <w:r>
          <w:fldChar w:fldCharType="separate"/>
        </w:r>
        <w:r>
          <w:t xml:space="preserve">3</w:t>
        </w:r>
        <w:r>
          <w:fldChar w:fldCharType="end"/>
        </w:r>
      </w:hyperlink>
    </w:p>
    <w:p>
      <w:pPr>
        <w:tabs>
          <w:tab w:pos="9360" w:val="right" w:leader="dot"/>
        </w:tabs>
        <w:spacing w:after="60" w:before="0"/>
        <w:ind w:left="320"/>
      </w:pPr>
      <w:hyperlink w:anchor="_Toc100004" w:history="1">
        <w:r>
          <w:t xml:space="preserve">3.2 Proxy gateway (mlw-proxy)</w:t>
        </w:r>
        <w:r>
          <w:tab/>
        </w:r>
        <w:r>
          <w:fldChar w:fldCharType="begin"/>
        </w:r>
        <w:r>
          <w:instrText xml:space="preserve"> PAGEREF _Toc100004 \h </w:instrText>
        </w:r>
        <w:r>
          <w:fldChar w:fldCharType="separate"/>
        </w:r>
        <w:r>
          <w:t xml:space="preserve">4</w:t>
        </w:r>
        <w:r>
          <w:fldChar w:fldCharType="end"/>
        </w:r>
      </w:hyperlink>
    </w:p>
    <w:p>
      <w:pPr>
        <w:tabs>
          <w:tab w:pos="9360" w:val="right" w:leader="dot"/>
        </w:tabs>
        <w:spacing w:after="80" w:before="120"/>
        <w:ind w:left="0"/>
      </w:pPr>
      <w:hyperlink w:anchor="_Toc100005" w:history="1">
        <w:r>
          <w:rPr>
            <w:b/>
          </w:rPr>
          <w:t xml:space="preserve">4. How traffic flows</w:t>
        </w:r>
        <w:r>
          <w:rPr>
            <w:b/>
          </w:rPr>
          <w:tab/>
        </w:r>
        <w:r>
          <w:rPr>
            <w:b/>
          </w:rPr>
          <w:fldChar w:fldCharType="begin"/>
        </w:r>
        <w:r>
          <w:rPr>
            <w:b/>
          </w:rPr>
          <w:instrText xml:space="preserve"> PAGEREF _Toc100005 \h </w:instrText>
        </w:r>
        <w:r>
          <w:rPr>
            <w:b/>
          </w:rPr>
          <w:fldChar w:fldCharType="separate"/>
        </w:r>
        <w:r>
          <w:rPr>
            <w:b/>
          </w:rPr>
          <w:t xml:space="preserve">4</w:t>
        </w:r>
        <w:r>
          <w:rPr>
            <w:b/>
          </w:rPr>
          <w:fldChar w:fldCharType="end"/>
        </w:r>
      </w:hyperlink>
    </w:p>
    <w:p>
      <w:pPr>
        <w:tabs>
          <w:tab w:pos="9360" w:val="right" w:leader="dot"/>
        </w:tabs>
        <w:spacing w:after="60" w:before="0"/>
        <w:ind w:left="320"/>
      </w:pPr>
      <w:hyperlink w:anchor="_Toc100006" w:history="1">
        <w:r>
          <w:t xml:space="preserve">4.1 Web and REST API</w:t>
        </w:r>
        <w:r>
          <w:tab/>
        </w:r>
        <w:r>
          <w:fldChar w:fldCharType="begin"/>
        </w:r>
        <w:r>
          <w:instrText xml:space="preserve"> PAGEREF _Toc100006 \h </w:instrText>
        </w:r>
        <w:r>
          <w:fldChar w:fldCharType="separate"/>
        </w:r>
        <w:r>
          <w:t xml:space="preserve">4</w:t>
        </w:r>
        <w:r>
          <w:fldChar w:fldCharType="end"/>
        </w:r>
      </w:hyperlink>
    </w:p>
    <w:p>
      <w:pPr>
        <w:tabs>
          <w:tab w:pos="9360" w:val="right" w:leader="dot"/>
        </w:tabs>
        <w:spacing w:after="60" w:before="0"/>
        <w:ind w:left="320"/>
      </w:pPr>
      <w:hyperlink w:anchor="_Toc100007" w:history="1">
        <w:r>
          <w:t xml:space="preserve">4.2 SFTP</w:t>
        </w:r>
        <w:r>
          <w:tab/>
        </w:r>
        <w:r>
          <w:fldChar w:fldCharType="begin"/>
        </w:r>
        <w:r>
          <w:instrText xml:space="preserve"> PAGEREF _Toc100007 \h </w:instrText>
        </w:r>
        <w:r>
          <w:fldChar w:fldCharType="separate"/>
        </w:r>
        <w:r>
          <w:t xml:space="preserve">4</w:t>
        </w:r>
        <w:r>
          <w:fldChar w:fldCharType="end"/>
        </w:r>
      </w:hyperlink>
    </w:p>
    <w:p>
      <w:pPr>
        <w:tabs>
          <w:tab w:pos="9360" w:val="right" w:leader="dot"/>
        </w:tabs>
        <w:spacing w:after="60" w:before="0"/>
        <w:ind w:left="320"/>
      </w:pPr>
      <w:hyperlink w:anchor="_Toc100008" w:history="1">
        <w:r>
          <w:t xml:space="preserve">4.3 FTP (optional)</w:t>
        </w:r>
        <w:r>
          <w:tab/>
        </w:r>
        <w:r>
          <w:fldChar w:fldCharType="begin"/>
        </w:r>
        <w:r>
          <w:instrText xml:space="preserve"> PAGEREF _Toc100008 \h </w:instrText>
        </w:r>
        <w:r>
          <w:fldChar w:fldCharType="separate"/>
        </w:r>
        <w:r>
          <w:t xml:space="preserve">5</w:t>
        </w:r>
        <w:r>
          <w:fldChar w:fldCharType="end"/>
        </w:r>
      </w:hyperlink>
    </w:p>
    <w:p>
      <w:pPr>
        <w:tabs>
          <w:tab w:pos="9360" w:val="right" w:leader="dot"/>
        </w:tabs>
        <w:spacing w:after="60" w:before="0"/>
        <w:ind w:left="320"/>
      </w:pPr>
      <w:hyperlink w:anchor="_Toc100009" w:history="1">
        <w:r>
          <w:t xml:space="preserve">4.4 WebDAV (optional)</w:t>
        </w:r>
        <w:r>
          <w:tab/>
        </w:r>
        <w:r>
          <w:fldChar w:fldCharType="begin"/>
        </w:r>
        <w:r>
          <w:instrText xml:space="preserve"> PAGEREF _Toc100009 \h </w:instrText>
        </w:r>
        <w:r>
          <w:fldChar w:fldCharType="separate"/>
        </w:r>
        <w:r>
          <w:t xml:space="preserve">5</w:t>
        </w:r>
        <w:r>
          <w:fldChar w:fldCharType="end"/>
        </w:r>
      </w:hyperlink>
    </w:p>
    <w:p>
      <w:pPr>
        <w:tabs>
          <w:tab w:pos="9360" w:val="right" w:leader="dot"/>
        </w:tabs>
        <w:spacing w:after="60" w:before="0"/>
        <w:ind w:left="320"/>
      </w:pPr>
      <w:hyperlink w:anchor="_Toc100010" w:history="1">
        <w:r>
          <w:t xml:space="preserve">4.5 Keycloak token login (optional)</w:t>
        </w:r>
        <w:r>
          <w:tab/>
        </w:r>
        <w:r>
          <w:fldChar w:fldCharType="begin"/>
        </w:r>
        <w:r>
          <w:instrText xml:space="preserve"> PAGEREF _Toc100010 \h </w:instrText>
        </w:r>
        <w:r>
          <w:fldChar w:fldCharType="separate"/>
        </w:r>
        <w:r>
          <w:t xml:space="preserve">5</w:t>
        </w:r>
        <w:r>
          <w:fldChar w:fldCharType="end"/>
        </w:r>
      </w:hyperlink>
    </w:p>
    <w:p>
      <w:pPr>
        <w:tabs>
          <w:tab w:pos="9360" w:val="right" w:leader="dot"/>
        </w:tabs>
        <w:spacing w:after="60" w:before="0"/>
        <w:ind w:left="320"/>
      </w:pPr>
      <w:hyperlink w:anchor="_Toc100011" w:history="1">
        <w:r>
          <w:t xml:space="preserve">4.6 Choosing the directory a user can open</w:t>
        </w:r>
        <w:r>
          <w:tab/>
        </w:r>
        <w:r>
          <w:fldChar w:fldCharType="begin"/>
        </w:r>
        <w:r>
          <w:instrText xml:space="preserve"> PAGEREF _Toc100011 \h </w:instrText>
        </w:r>
        <w:r>
          <w:fldChar w:fldCharType="separate"/>
        </w:r>
        <w:r>
          <w:t xml:space="preserve">6</w:t>
        </w:r>
        <w:r>
          <w:fldChar w:fldCharType="end"/>
        </w:r>
      </w:hyperlink>
    </w:p>
    <w:p>
      <w:pPr>
        <w:tabs>
          <w:tab w:pos="9360" w:val="right" w:leader="dot"/>
        </w:tabs>
        <w:spacing w:after="80" w:before="120"/>
        <w:ind w:left="0"/>
      </w:pPr>
      <w:hyperlink w:anchor="_Toc100012" w:history="1">
        <w:r>
          <w:rPr>
            <w:b/>
          </w:rPr>
          <w:t xml:space="preserve">5. Ports</w:t>
        </w:r>
        <w:r>
          <w:rPr>
            <w:b/>
          </w:rPr>
          <w:tab/>
        </w:r>
        <w:r>
          <w:rPr>
            <w:b/>
          </w:rPr>
          <w:fldChar w:fldCharType="begin"/>
        </w:r>
        <w:r>
          <w:rPr>
            <w:b/>
          </w:rPr>
          <w:instrText xml:space="preserve"> PAGEREF _Toc100012 \h </w:instrText>
        </w:r>
        <w:r>
          <w:rPr>
            <w:b/>
          </w:rPr>
          <w:fldChar w:fldCharType="separate"/>
        </w:r>
        <w:r>
          <w:rPr>
            <w:b/>
          </w:rPr>
          <w:t xml:space="preserve">7</w:t>
        </w:r>
        <w:r>
          <w:rPr>
            <w:b/>
          </w:rPr>
          <w:fldChar w:fldCharType="end"/>
        </w:r>
      </w:hyperlink>
    </w:p>
    <w:p>
      <w:pPr>
        <w:tabs>
          <w:tab w:pos="9360" w:val="right" w:leader="dot"/>
        </w:tabs>
        <w:spacing w:after="80" w:before="120"/>
        <w:ind w:left="0"/>
      </w:pPr>
      <w:hyperlink w:anchor="_Toc100013" w:history="1">
        <w:r>
          <w:rPr>
            <w:b/>
          </w:rPr>
          <w:t xml:space="preserve">6. Configuration</w:t>
        </w:r>
        <w:r>
          <w:rPr>
            <w:b/>
          </w:rPr>
          <w:tab/>
        </w:r>
        <w:r>
          <w:rPr>
            <w:b/>
          </w:rPr>
          <w:fldChar w:fldCharType="begin"/>
        </w:r>
        <w:r>
          <w:rPr>
            <w:b/>
          </w:rPr>
          <w:instrText xml:space="preserve"> PAGEREF _Toc100013 \h </w:instrText>
        </w:r>
        <w:r>
          <w:rPr>
            <w:b/>
          </w:rPr>
          <w:fldChar w:fldCharType="separate"/>
        </w:r>
        <w:r>
          <w:rPr>
            <w:b/>
          </w:rPr>
          <w:t xml:space="preserve">7</w:t>
        </w:r>
        <w:r>
          <w:rPr>
            <w:b/>
          </w:rPr>
          <w:fldChar w:fldCharType="end"/>
        </w:r>
      </w:hyperlink>
    </w:p>
    <w:p>
      <w:pPr>
        <w:tabs>
          <w:tab w:pos="9360" w:val="right" w:leader="dot"/>
        </w:tabs>
        <w:spacing w:after="60" w:before="0"/>
        <w:ind w:left="320"/>
      </w:pPr>
      <w:hyperlink w:anchor="_Toc100014" w:history="1">
        <w:r>
          <w:t xml:space="preserve">6.1 Operator settings (.env)</w:t>
        </w:r>
        <w:r>
          <w:tab/>
        </w:r>
        <w:r>
          <w:fldChar w:fldCharType="begin"/>
        </w:r>
        <w:r>
          <w:instrText xml:space="preserve"> PAGEREF _Toc100014 \h </w:instrText>
        </w:r>
        <w:r>
          <w:fldChar w:fldCharType="separate"/>
        </w:r>
        <w:r>
          <w:t xml:space="preserve">7</w:t>
        </w:r>
        <w:r>
          <w:fldChar w:fldCharType="end"/>
        </w:r>
      </w:hyperlink>
    </w:p>
    <w:p>
      <w:pPr>
        <w:tabs>
          <w:tab w:pos="9360" w:val="right" w:leader="dot"/>
        </w:tabs>
        <w:spacing w:after="60" w:before="0"/>
        <w:ind w:left="320"/>
      </w:pPr>
      <w:hyperlink w:anchor="_Toc100015" w:history="1">
        <w:r>
          <w:t xml:space="preserve">6.2 Gateway settings</w:t>
        </w:r>
        <w:r>
          <w:tab/>
        </w:r>
        <w:r>
          <w:fldChar w:fldCharType="begin"/>
        </w:r>
        <w:r>
          <w:instrText xml:space="preserve"> PAGEREF _Toc100015 \h </w:instrText>
        </w:r>
        <w:r>
          <w:fldChar w:fldCharType="separate"/>
        </w:r>
        <w:r>
          <w:t xml:space="preserve">8</w:t>
        </w:r>
        <w:r>
          <w:fldChar w:fldCharType="end"/>
        </w:r>
      </w:hyperlink>
    </w:p>
    <w:p>
      <w:pPr>
        <w:tabs>
          <w:tab w:pos="9360" w:val="right" w:leader="dot"/>
        </w:tabs>
        <w:spacing w:after="60" w:before="0"/>
        <w:ind w:left="320"/>
      </w:pPr>
      <w:hyperlink w:anchor="_Toc100016" w:history="1">
        <w:r>
          <w:t xml:space="preserve">6.3 Keycloak settings (optional)</w:t>
        </w:r>
        <w:r>
          <w:tab/>
        </w:r>
        <w:r>
          <w:fldChar w:fldCharType="begin"/>
        </w:r>
        <w:r>
          <w:instrText xml:space="preserve"> PAGEREF _Toc100016 \h </w:instrText>
        </w:r>
        <w:r>
          <w:fldChar w:fldCharType="separate"/>
        </w:r>
        <w:r>
          <w:t xml:space="preserve">8</w:t>
        </w:r>
        <w:r>
          <w:fldChar w:fldCharType="end"/>
        </w:r>
      </w:hyperlink>
    </w:p>
    <w:p>
      <w:pPr>
        <w:tabs>
          <w:tab w:pos="9360" w:val="right" w:leader="dot"/>
        </w:tabs>
        <w:spacing w:after="60" w:before="0"/>
        <w:ind w:left="320"/>
      </w:pPr>
      <w:hyperlink w:anchor="_Toc100017" w:history="1">
        <w:r>
          <w:t xml:space="preserve">6.4 Production deployment (docker-compose.prod.yml)</w:t>
        </w:r>
        <w:r>
          <w:tab/>
        </w:r>
        <w:r>
          <w:fldChar w:fldCharType="begin"/>
        </w:r>
        <w:r>
          <w:instrText xml:space="preserve"> PAGEREF _Toc100017 \h </w:instrText>
        </w:r>
        <w:r>
          <w:fldChar w:fldCharType="separate"/>
        </w:r>
        <w:r>
          <w:t xml:space="preserve">9</w:t>
        </w:r>
        <w:r>
          <w:fldChar w:fldCharType="end"/>
        </w:r>
      </w:hyperlink>
    </w:p>
    <w:p>
      <w:pPr>
        <w:tabs>
          <w:tab w:pos="9360" w:val="right" w:leader="dot"/>
        </w:tabs>
        <w:spacing w:after="80" w:before="120"/>
        <w:ind w:left="0"/>
      </w:pPr>
      <w:hyperlink w:anchor="_Toc100018" w:history="1">
        <w:r>
          <w:rPr>
            <w:b/>
          </w:rPr>
          <w:t xml:space="preserve">7. Data and persistence</w:t>
        </w:r>
        <w:r>
          <w:rPr>
            <w:b/>
          </w:rPr>
          <w:tab/>
        </w:r>
        <w:r>
          <w:rPr>
            <w:b/>
          </w:rPr>
          <w:fldChar w:fldCharType="begin"/>
        </w:r>
        <w:r>
          <w:rPr>
            <w:b/>
          </w:rPr>
          <w:instrText xml:space="preserve"> PAGEREF _Toc100018 \h </w:instrText>
        </w:r>
        <w:r>
          <w:rPr>
            <w:b/>
          </w:rPr>
          <w:fldChar w:fldCharType="separate"/>
        </w:r>
        <w:r>
          <w:rPr>
            <w:b/>
          </w:rPr>
          <w:t xml:space="preserve">9</w:t>
        </w:r>
        <w:r>
          <w:rPr>
            <w:b/>
          </w:rPr>
          <w:fldChar w:fldCharType="end"/>
        </w:r>
      </w:hyperlink>
    </w:p>
    <w:p>
      <w:pPr>
        <w:tabs>
          <w:tab w:pos="9360" w:val="right" w:leader="dot"/>
        </w:tabs>
        <w:spacing w:after="80" w:before="120"/>
        <w:ind w:left="0"/>
      </w:pPr>
      <w:hyperlink w:anchor="_Toc100019" w:history="1">
        <w:r>
          <w:rPr>
            <w:b/>
          </w:rPr>
          <w:t xml:space="preserve">8. Security considerations</w:t>
        </w:r>
        <w:r>
          <w:rPr>
            <w:b/>
          </w:rPr>
          <w:tab/>
        </w:r>
        <w:r>
          <w:rPr>
            <w:b/>
          </w:rPr>
          <w:fldChar w:fldCharType="begin"/>
        </w:r>
        <w:r>
          <w:rPr>
            <w:b/>
          </w:rPr>
          <w:instrText xml:space="preserve"> PAGEREF _Toc100019 \h </w:instrText>
        </w:r>
        <w:r>
          <w:rPr>
            <w:b/>
          </w:rPr>
          <w:fldChar w:fldCharType="separate"/>
        </w:r>
        <w:r>
          <w:rPr>
            <w:b/>
          </w:rPr>
          <w:t xml:space="preserve">10</w:t>
        </w:r>
        <w:r>
          <w:rPr>
            <w:b/>
          </w:rPr>
          <w:fldChar w:fldCharType="end"/>
        </w:r>
      </w:hyperlink>
    </w:p>
    <w:p>
      <w:pPr>
        <w:tabs>
          <w:tab w:pos="9360" w:val="right" w:leader="dot"/>
        </w:tabs>
        <w:spacing w:after="80" w:before="120"/>
        <w:ind w:left="0"/>
      </w:pPr>
      <w:hyperlink w:anchor="_Toc100020" w:history="1">
        <w:r>
          <w:rPr>
            <w:b/>
          </w:rPr>
          <w:t xml:space="preserve">9. Operations</w:t>
        </w:r>
        <w:r>
          <w:rPr>
            <w:b/>
          </w:rPr>
          <w:tab/>
        </w:r>
        <w:r>
          <w:rPr>
            <w:b/>
          </w:rPr>
          <w:fldChar w:fldCharType="begin"/>
        </w:r>
        <w:r>
          <w:rPr>
            <w:b/>
          </w:rPr>
          <w:instrText xml:space="preserve"> PAGEREF _Toc100020 \h </w:instrText>
        </w:r>
        <w:r>
          <w:rPr>
            <w:b/>
          </w:rPr>
          <w:fldChar w:fldCharType="separate"/>
        </w:r>
        <w:r>
          <w:rPr>
            <w:b/>
          </w:rPr>
          <w:t xml:space="preserve">10</w:t>
        </w:r>
        <w:r>
          <w:rPr>
            <w:b/>
          </w:rPr>
          <w:fldChar w:fldCharType="end"/>
        </w:r>
      </w:hyperlink>
    </w:p>
    <w:p>
      <w:pPr>
        <w:tabs>
          <w:tab w:pos="9360" w:val="right" w:leader="dot"/>
        </w:tabs>
        <w:spacing w:after="80" w:before="120"/>
        <w:ind w:left="0"/>
      </w:pPr>
      <w:hyperlink w:anchor="_Toc100021" w:history="1">
        <w:r>
          <w:rPr>
            <w:b/>
          </w:rPr>
          <w:t xml:space="preserve">10. Limitations and possible next steps</w:t>
        </w:r>
        <w:r>
          <w:rPr>
            <w:b/>
          </w:rPr>
          <w:tab/>
        </w:r>
        <w:r>
          <w:rPr>
            <w:b/>
          </w:rPr>
          <w:fldChar w:fldCharType="begin"/>
        </w:r>
        <w:r>
          <w:rPr>
            <w:b/>
          </w:rPr>
          <w:instrText xml:space="preserve"> PAGEREF _Toc100021 \h </w:instrText>
        </w:r>
        <w:r>
          <w:rPr>
            <w:b/>
          </w:rPr>
          <w:fldChar w:fldCharType="separate"/>
        </w:r>
        <w:r>
          <w:rPr>
            <w:b/>
          </w:rPr>
          <w:t xml:space="preserve">11</w:t>
        </w:r>
        <w:r>
          <w:rPr>
            <w:b/>
          </w:rPr>
          <w:fldChar w:fldCharType="end"/>
        </w:r>
      </w:hyperlink>
      <w:r>
        <w:fldChar w:fldCharType="end"/>
      </w:r>
    </w:p>
    <w:p>
      <w:r>
        <w:br w:type="page"/>
      </w:r>
    </w:p>
    <w:p>
      <w:pPr>
        <w:pStyle w:val="Heading1"/>
        <w:spacing w:before="0" w:after="0"/>
        <w:rPr/>
      </w:pPr>
      <w:bookmarkStart w:id="900" w:name="_Toc100000"/>
      <w:r>
        <w:rPr/>
        <w:t>1. Overview</w:t>
      </w:r>
      <w:bookmarkEnd w:id="900"/>
    </w:p>
    <w:p>
      <w:pPr>
        <w:pStyle w:val="Normal"/>
        <w:rPr/>
      </w:pPr>
      <w:r>
        <w:rPr/>
        <w:t>The storage component of the Magic Lantern Workbench (MLW) platform lets remote servers and users exchange files with the platform. It is built from two services run by Docker Compose:</w:t>
      </w:r>
    </w:p>
    <w:p>
      <w:pPr>
        <w:pStyle w:val="ListBullet"/>
        <w:numPr>
          <w:ilvl w:val="0"/>
          <w:numId w:val="1"/>
        </w:numPr>
        <w:rPr/>
      </w:pPr>
      <w:r>
        <w:rPr>
          <w:b/>
        </w:rPr>
        <w:t>SFTPGo</w:t>
      </w:r>
      <w:r>
        <w:rPr/>
        <w:t xml:space="preserve"> a file transfer server that handles users, authentication, permissions and file storage, and speaks SFTP (always), plus FTP and WebDAV (optional).</w:t>
      </w:r>
    </w:p>
    <w:p>
      <w:pPr>
        <w:pStyle w:val="ListBullet"/>
        <w:numPr>
          <w:ilvl w:val="0"/>
          <w:numId w:val="1"/>
        </w:numPr>
        <w:rPr/>
      </w:pPr>
      <w:r>
        <w:rPr>
          <w:b/>
        </w:rPr>
        <w:t>mlw-proxy</w:t>
      </w:r>
      <w:r>
        <w:rPr/>
        <w:t xml:space="preserve"> a small Go application (the proxy gateway) that is the only network entry point. It forwards web, SFTP, FTP and WebDAV traffic to SFTPGo.</w:t>
      </w:r>
    </w:p>
    <w:p>
      <w:pPr>
        <w:pStyle w:val="Normal"/>
        <w:rPr/>
      </w:pPr>
      <w:r>
        <w:rPr/>
        <w:t>SFTPGo is never published directly on the host. Everything reaches it through the gateway, which gives the platform a single place to add access control, logging or routing later.</w:t>
      </w:r>
    </w:p>
    <w:p>
      <w:pPr>
        <w:pStyle w:val="Heading1"/>
        <w:rPr/>
      </w:pPr>
      <w:bookmarkStart w:id="901" w:name="_Toc100001"/>
      <w:r>
        <w:rPr/>
        <w:t>2. Architecture</w:t>
      </w:r>
      <w:bookmarkEnd w:id="901"/>
    </w:p>
    <w:p>
      <w:pPr>
        <w:pStyle w:val="Normal"/>
        <w:ind w:left="288"/>
        <w:rPr/>
      </w:pPr>
      <w:r>
        <w:rPr>
          <w:rFonts w:eastAsia="Consolas" w:ascii="Consolas" w:hAnsi="Consolas"/>
          <w:sz w:val="18"/>
        </w:rPr>
        <w:t xml:space="preserve">  </w:t>
      </w:r>
      <w:r>
        <w:rPr>
          <w:rFonts w:eastAsia="Consolas" w:ascii="Consolas" w:hAnsi="Consolas"/>
          <w:sz w:val="18"/>
        </w:rPr>
        <w:t>Remote servers / users</w:t>
        <w:br/>
        <w:t xml:space="preserve">          |</w:t>
        <w:br/>
        <w:t xml:space="preserve">          |  HTTP 8380   SFTP 2222   [FTP 2121 + 50000-50009]   [WebDAV 10080]</w:t>
        <w:br/>
        <w:t xml:space="preserve">          v</w:t>
        <w:br/>
        <w:t xml:space="preserve">  +--------------------------------------------------+</w:t>
        <w:br/>
        <w:t xml:space="preserve">  |  mlw-proxy  (Go gateway, container 'mlw-proxy')   |</w:t>
        <w:br/>
        <w:t xml:space="preserve">  |  - HTTP reverse proxy      - TCP relay (SFTP)     |</w:t>
        <w:br/>
        <w:t xml:space="preserve">  |  - TCP relay (FTP, passive) - HTTP proxy (WebDAV) |</w:t>
        <w:br/>
        <w:t xml:space="preserve">  +--------------------------------------------------+</w:t>
        <w:br/>
        <w:t xml:space="preserve">          |   internal Compose network (not published)</w:t>
        <w:br/>
        <w:t xml:space="preserve">          v</w:t>
        <w:br/>
        <w:t xml:space="preserve">  +--------------------------------------------------+</w:t>
        <w:br/>
        <w:t xml:space="preserve">  |  sftpgo  (drakkan/sftpgo:v2)                      |</w:t>
        <w:br/>
        <w:t xml:space="preserve">  |  web 8080  SFTP 2022  [FTP 2121]  [WebDAV 10080]  |</w:t>
        <w:br/>
        <w:t xml:space="preserve">  +--------------------------------------------------+</w:t>
        <w:br/>
        <w:t xml:space="preserve">          |                         |</w:t>
        <w:br/>
        <w:t xml:space="preserve">     ./data (files)        volume sftpgo-config</w:t>
        <w:br/>
        <w:t xml:space="preserve">                           (database, host keys, state)</w:t>
        <w:br/>
        <w:br/>
        <w:t xml:space="preserve">  [ ] = optional, disabled by default</w:t>
      </w:r>
    </w:p>
    <w:p>
      <w:pPr>
        <w:pStyle w:val="Heading1"/>
        <w:rPr/>
      </w:pPr>
      <w:bookmarkStart w:id="902" w:name="_Toc100002"/>
      <w:r>
        <w:rPr/>
        <w:t>3. Components</w:t>
      </w:r>
      <w:bookmarkEnd w:id="902"/>
    </w:p>
    <w:p>
      <w:pPr>
        <w:pStyle w:val="Heading2"/>
        <w:rPr/>
      </w:pPr>
      <w:bookmarkStart w:id="903" w:name="_Toc100003"/>
      <w:r>
        <w:rPr/>
        <w:t>3.1 SFTPGo</w:t>
      </w:r>
      <w:bookmarkEnd w:id="903"/>
    </w:p>
    <w:p>
      <w:pPr>
        <w:pStyle w:val="Normal"/>
        <w:rPr/>
      </w:pPr>
      <w:r>
        <w:rPr/>
        <w:t>SFTPGo is the system of record. It stores user accounts, authenticates every connection and enforces permissions. It provides:</w:t>
      </w:r>
    </w:p>
    <w:p>
      <w:pPr>
        <w:pStyle w:val="ListBullet"/>
        <w:numPr>
          <w:ilvl w:val="0"/>
          <w:numId w:val="1"/>
        </w:numPr>
        <w:rPr/>
      </w:pPr>
      <w:r>
        <w:rPr/>
        <w:t>A web admin interface for managing users and settings, and a WebClient for end users.</w:t>
      </w:r>
    </w:p>
    <w:p>
      <w:pPr>
        <w:pStyle w:val="ListBullet"/>
        <w:numPr>
          <w:ilvl w:val="0"/>
          <w:numId w:val="1"/>
        </w:numPr>
        <w:rPr/>
      </w:pPr>
      <w:r>
        <w:rPr/>
        <w:t>A REST API.</w:t>
      </w:r>
    </w:p>
    <w:p>
      <w:pPr>
        <w:pStyle w:val="ListBullet"/>
        <w:numPr>
          <w:ilvl w:val="0"/>
          <w:numId w:val="1"/>
        </w:numPr>
        <w:rPr/>
      </w:pPr>
      <w:r>
        <w:rPr/>
        <w:t>SFTP on port 2022 (always enabled).</w:t>
      </w:r>
    </w:p>
    <w:p>
      <w:pPr>
        <w:pStyle w:val="ListBullet"/>
        <w:numPr>
          <w:ilvl w:val="0"/>
          <w:numId w:val="1"/>
        </w:numPr>
        <w:rPr/>
      </w:pPr>
      <w:r>
        <w:rPr/>
        <w:t>FTP on port 2121 and WebDAV on port 10080 (both disabled by default).</w:t>
      </w:r>
    </w:p>
    <w:p>
      <w:pPr>
        <w:pStyle w:val="Normal"/>
        <w:rPr/>
      </w:pPr>
      <w:r>
        <w:rPr/>
        <w:t>The container exposes its ports only to the internal Compose network (expose, not ports), so nothing outside Docker can reach it directly. Uploaded files are stored in ./data on the host; its database and SSH host keys are kept in the named volume sftpgo-config.</w:t>
      </w:r>
    </w:p>
    <w:p>
      <w:pPr>
        <w:pStyle w:val="Heading2"/>
        <w:rPr/>
      </w:pPr>
      <w:bookmarkStart w:id="904" w:name="_Toc100004"/>
      <w:r>
        <w:rPr/>
        <w:t>3.2 Proxy gateway (mlw-proxy)</w:t>
      </w:r>
      <w:bookmarkEnd w:id="904"/>
    </w:p>
    <w:p>
      <w:pPr>
        <w:pStyle w:val="Normal"/>
        <w:rPr/>
      </w:pPr>
      <w:r>
        <w:rPr/>
        <w:t>A Go program (source in src/, standard library only) built into a minimal distroless image and run as the proxy service. It performs two kinds of forwarding:</w:t>
      </w:r>
    </w:p>
    <w:p>
      <w:pPr>
        <w:pStyle w:val="ListBullet"/>
        <w:numPr>
          <w:ilvl w:val="0"/>
          <w:numId w:val="1"/>
        </w:numPr>
        <w:rPr/>
      </w:pPr>
      <w:r>
        <w:rPr>
          <w:b/>
        </w:rPr>
        <w:t>HTTP reverse proxy.</w:t>
      </w:r>
      <w:r>
        <w:rPr/>
        <w:t xml:space="preserve"> Web UI, REST API, WebClient and WebDAV are forwarded with Go's httputil.ReverseProxy. The original Host header is preserved and X-Forwarded-For/Host/Proto headers are added. If SFTPGo is unreachable the client receives 502. A /healthz endpoint reports that the gateway itself is up.</w:t>
      </w:r>
    </w:p>
    <w:p>
      <w:pPr>
        <w:pStyle w:val="ListBullet"/>
        <w:numPr>
          <w:ilvl w:val="0"/>
          <w:numId w:val="1"/>
        </w:numPr>
        <w:rPr/>
      </w:pPr>
      <w:r>
        <w:rPr>
          <w:b/>
        </w:rPr>
        <w:t>TCP relay.</w:t>
      </w:r>
      <w:r>
        <w:rPr/>
        <w:t xml:space="preserve"> SFTP and FTP are not HTTP, so the gateway accepts each TCP connection, dials SFTPGo and copies bytes in both directions. The gateway does not inspect or terminate the protocol: the SSH or FTP session runs end to end between the remote client and SFTPGo, so SFTPGo performs all authentication.</w:t>
      </w:r>
    </w:p>
    <w:p>
      <w:pPr>
        <w:pStyle w:val="Normal"/>
        <w:rPr/>
      </w:pPr>
      <w:r>
        <w:rPr/>
        <w:t>The gateway shuts down cleanly on SIGTERM, closing its listeners and draining the HTTP servers.</w:t>
      </w:r>
    </w:p>
    <w:p>
      <w:pPr>
        <w:pStyle w:val="Heading1"/>
        <w:rPr/>
      </w:pPr>
      <w:bookmarkStart w:id="905" w:name="_Toc100005"/>
      <w:r>
        <w:rPr/>
        <w:t>4. How traffic flows</w:t>
      </w:r>
      <w:bookmarkEnd w:id="905"/>
    </w:p>
    <w:p>
      <w:pPr>
        <w:pStyle w:val="Heading2"/>
        <w:rPr/>
      </w:pPr>
      <w:bookmarkStart w:id="906" w:name="_Toc100006"/>
      <w:r>
        <w:rPr/>
        <w:t>4.1 Web and REST API</w:t>
      </w:r>
      <w:bookmarkEnd w:id="906"/>
    </w:p>
    <w:p>
      <w:pPr>
        <w:pStyle w:val="Normal"/>
        <w:rPr/>
      </w:pPr>
      <w:r>
        <w:rPr/>
        <w:t>A browser or API client connects to port 8380. The gateway forwards the request to sftpgo:8080 and returns the response. Admin login, user management and the WebClient all work through this path.</w:t>
      </w:r>
    </w:p>
    <w:p>
      <w:pPr>
        <w:pStyle w:val="Heading2"/>
        <w:rPr/>
      </w:pPr>
      <w:bookmarkStart w:id="907" w:name="_Toc100007"/>
      <w:r>
        <w:rPr/>
        <w:t>4.2 SFTP</w:t>
      </w:r>
      <w:bookmarkEnd w:id="907"/>
    </w:p>
    <w:p>
      <w:pPr>
        <w:pStyle w:val="Normal"/>
        <w:rPr/>
      </w:pPr>
      <w:r>
        <w:rPr/>
        <w:t>A remote server runs an SFTP client against port 2222 (for example sftp -P 2222 user@gateway). The gateway relays the TCP stream to sftpgo:2022. SFTPGo performs the SSH handshake, authenticates the user and serves files from that user's home directory.</w:t>
      </w:r>
    </w:p>
    <w:p>
      <w:pPr>
        <w:pStyle w:val="Heading2"/>
        <w:rPr/>
      </w:pPr>
      <w:bookmarkStart w:id="908" w:name="_Toc100008"/>
      <w:r>
        <w:rPr/>
        <w:t>4.3 FTP (optional)</w:t>
      </w:r>
      <w:bookmarkEnd w:id="908"/>
    </w:p>
    <w:p>
      <w:pPr>
        <w:pStyle w:val="Normal"/>
        <w:rPr/>
      </w:pPr>
      <w:r>
        <w:rPr/>
        <w:t>FTP uses a control connection plus separate data connections. In passive mode, SFTPGo tells the client which address and port to use for each transfer. For this to work through the gateway:</w:t>
      </w:r>
    </w:p>
    <w:p>
      <w:pPr>
        <w:pStyle w:val="ListBullet"/>
        <w:numPr>
          <w:ilvl w:val="0"/>
          <w:numId w:val="1"/>
        </w:numPr>
        <w:rPr/>
      </w:pPr>
      <w:r>
        <w:rPr/>
        <w:t>The control connection on port 2121 is relayed to sftpgo:2121.</w:t>
      </w:r>
    </w:p>
    <w:p>
      <w:pPr>
        <w:pStyle w:val="ListBullet"/>
        <w:numPr>
          <w:ilvl w:val="0"/>
          <w:numId w:val="1"/>
        </w:numPr>
        <w:rPr/>
      </w:pPr>
      <w:r>
        <w:rPr/>
        <w:t>SFTPGo is configured with the passive port range 50000-50009 and advertises FTP_PASSIVE_IP, the address clients use to reach the gateway, so data connections come to the gateway rather than to the container.</w:t>
      </w:r>
    </w:p>
    <w:p>
      <w:pPr>
        <w:pStyle w:val="ListBullet"/>
        <w:numPr>
          <w:ilvl w:val="0"/>
          <w:numId w:val="1"/>
        </w:numPr>
        <w:rPr/>
      </w:pPr>
      <w:r>
        <w:rPr/>
        <w:t>The gateway listens on each port in 50000-50009 and relays it to the same port on SFTPGo.</w:t>
      </w:r>
    </w:p>
    <w:p>
      <w:pPr>
        <w:pStyle w:val="Normal"/>
        <w:rPr/>
      </w:pPr>
      <w:r>
        <w:rPr/>
        <w:t>Plain FTP is unencrypted, so SFTP is preferred unless a client requires FTP.</w:t>
      </w:r>
    </w:p>
    <w:p>
      <w:pPr>
        <w:pStyle w:val="Heading2"/>
        <w:rPr/>
      </w:pPr>
      <w:bookmarkStart w:id="909" w:name="_Toc100009"/>
      <w:r>
        <w:rPr/>
        <w:t>4.4 WebDAV (optional)</w:t>
      </w:r>
      <w:bookmarkEnd w:id="909"/>
    </w:p>
    <w:p>
      <w:pPr>
        <w:pStyle w:val="Normal"/>
        <w:rPr/>
      </w:pPr>
      <w:r>
        <w:rPr/>
        <w:t>WebDAV is HTTP, so the gateway runs a second reverse proxy on port 10080 that forwards to sftpgo:10080.</w:t>
      </w:r>
    </w:p>
    <w:p>
      <w:pPr>
        <w:pStyle w:val="Heading2"/>
        <w:rPr/>
      </w:pPr>
      <w:bookmarkStart w:id="910" w:name="_Toc100010"/>
      <w:r>
        <w:rPr/>
        <w:t>4.5 Keycloak token login (optional)</w:t>
      </w:r>
      <w:bookmarkEnd w:id="910"/>
    </w:p>
    <w:p>
      <w:pPr>
        <w:pStyle w:val="Normal"/>
        <w:rPr/>
      </w:pPr>
      <w:r>
        <w:rPr/>
        <w:t>A web application (app1), possibly on another machine, authenticates its users with Keycloak (realm mlw) and needs to open and save those users' files through the gateway. It does this over SFTP, which runs inside SSH, using the user's Keycloak access token as the SSH password. The feature is disabled by default and is enabled by adding docker-compose.keycloak.yml to COMPOSE_FILE.</w:t>
      </w:r>
    </w:p>
    <w:p>
      <w:pPr>
        <w:pStyle w:val="Normal"/>
        <w:ind w:left="288"/>
        <w:rPr/>
      </w:pPr>
      <w:r>
        <w:rPr>
          <w:rFonts w:eastAsia="Consolas" w:ascii="Consolas" w:hAnsi="Consolas"/>
          <w:sz w:val="18"/>
        </w:rPr>
        <w:t xml:space="preserve">  </w:t>
      </w:r>
      <w:r>
        <w:rPr>
          <w:rFonts w:eastAsia="Consolas" w:ascii="Consolas" w:hAnsi="Consolas"/>
          <w:sz w:val="18"/>
        </w:rPr>
        <w:t>app1 --(1) user logs in--&gt;  Keycloak (realm mlw)</w:t>
        <w:br/>
        <w:t xml:space="preserve">  app1 &lt;-(2) access token (JWT)</w:t>
        <w:br/>
        <w:t xml:space="preserve">  app1 --(3) SSH/SFTP, user = sub, password = token--&gt; mlw-proxy :2222 --&gt; sftpgo</w:t>
        <w:br/>
        <w:t xml:space="preserve">                                                                  |</w:t>
        <w:br/>
        <w:t xml:space="preserve">        sftpgo --(4) auth hook, internal :9000 /auth--&gt; mlw-proxy |</w:t>
        <w:br/>
        <w:t xml:space="preserve">        mlw-proxy --(5) fetch realm signing keys--&gt; Keycloak (keycloak:8080)</w:t>
        <w:br/>
        <w:t xml:space="preserve">        sftpgo &lt;-(6) user definition: sub, home dir, permissions</w:t>
      </w:r>
    </w:p>
    <w:p>
      <w:pPr>
        <w:pStyle w:val="ListBullet"/>
        <w:numPr>
          <w:ilvl w:val="0"/>
          <w:numId w:val="1"/>
        </w:numPr>
        <w:rPr/>
      </w:pPr>
      <w:r>
        <w:rPr/>
        <w:t>The SFTP connection itself is relayed to SFTPGo unchanged. SFTPGo is configured with an external authentication hook that calls the gateway on an internal-only port (9000, not published) for every password login.</w:t>
      </w:r>
    </w:p>
    <w:p>
      <w:pPr>
        <w:pStyle w:val="ListBullet"/>
        <w:numPr>
          <w:ilvl w:val="0"/>
          <w:numId w:val="1"/>
        </w:numPr>
        <w:rPr/>
      </w:pPr>
      <w:r>
        <w:rPr/>
        <w:t>The gateway validates the token: RS256 signature against the realm's published keys (cached, refreshed when an unknown key id appears), issuer, expiry, token type Bearer, and optionally the Keycloak client (azp). It requires the SSH username to equal the token's sub (the Keycloak user id).</w:t>
      </w:r>
    </w:p>
    <w:p>
      <w:pPr>
        <w:pStyle w:val="ListBullet"/>
        <w:numPr>
          <w:ilvl w:val="0"/>
          <w:numId w:val="1"/>
        </w:numPr>
        <w:rPr/>
      </w:pPr>
      <w:r>
        <w:rPr/>
        <w:t>Roles come from the token's realm_access.roles. The user must hold the required role (default mlw-user). An optional read-only role limits the user to list and download.</w:t>
      </w:r>
    </w:p>
    <w:p>
      <w:pPr>
        <w:pStyle w:val="ListBullet"/>
        <w:numPr>
          <w:ilvl w:val="0"/>
          <w:numId w:val="1"/>
        </w:numPr>
        <w:rPr/>
      </w:pPr>
      <w:r>
        <w:rPr/>
        <w:t>On success the gateway returns the user to SFTPGo, which creates or updates it: username = sub, the user's root directory, and full or read-only permissions. Files saved by app1 land on the local file system of the storage host.</w:t>
      </w:r>
    </w:p>
    <w:p>
      <w:pPr>
        <w:pStyle w:val="ListBullet"/>
        <w:numPr>
          <w:ilvl w:val="0"/>
          <w:numId w:val="1"/>
        </w:numPr>
        <w:rPr/>
      </w:pPr>
      <w:r>
        <w:rPr/>
        <w:t>To reach Keycloak, the gateway joins the Keycloak stack's Docker network (mlw-platform_default) and fetches keys from keycloak:8080, while the expected issuer stays http://localhost:8180/realms/mlw (Keycloak's fixed hostname).</w:t>
      </w:r>
    </w:p>
    <w:p>
      <w:pPr>
        <w:pStyle w:val="Normal"/>
        <w:rPr/>
      </w:pPr>
      <w:r>
        <w:rPr/>
        <w:t>Important behaviour. SFTPGo treats an empty answer from the hook as 'already authenticated' and accepts any password, so the gateway never answers that way: anything that is not a valid token is rejected with 403. As a result, while the feature is on, every password login (SFTP, FTP, WebDAV, WebClient) must be a Keycloak token; local SFTPGo users can still use public keys, and the admin UI is unaffected. SFTPGo stores the password it was given, and tokens exceed bcrypt's 72-byte limit, so its password hashing is set to argon2id.</w:t>
      </w:r>
    </w:p>
    <w:p>
      <w:pPr>
        <w:pStyle w:val="Heading2"/>
        <w:rPr/>
      </w:pPr>
      <w:bookmarkStart w:id="911" w:name="_Toc100011"/>
      <w:r>
        <w:rPr/>
        <w:t>4.6 Choosing the directory a user can open</w:t>
      </w:r>
      <w:bookmarkEnd w:id="911"/>
    </w:p>
    <w:p>
      <w:pPr>
        <w:pStyle w:val="Normal"/>
        <w:rPr/>
      </w:pPr>
      <w:r>
        <w:rPr/>
        <w:t>A new user's root is a private, empty directory users/&lt;sub&gt; under the data directory. To open files that already exist, the user chooses a directory inside the shared tree (data/shared on the host) before connecting. The Keycloak user id (sub) is assigned by Keycloak when the account is created and is read from the token, so the choice does not depend on a first SFTP login.</w:t>
      </w:r>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680"/>
        <w:gridCol w:w="4679"/>
      </w:tblGrid>
      <w:tr>
        <w:trPr/>
        <w:tc>
          <w:tcPr>
            <w:tcW w:w="4680"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 w:val="20"/>
                <w:szCs w:val="22"/>
                <w:lang w:val="en-US" w:eastAsia="en-US" w:bidi="ar-SA"/>
              </w:rPr>
              <w:t>Call (on the gateway web port, Bearer token)</w:t>
            </w:r>
          </w:p>
        </w:tc>
        <w:tc>
          <w:tcPr>
            <w:tcW w:w="4679"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 w:val="20"/>
                <w:szCs w:val="22"/>
                <w:lang w:val="en-US" w:eastAsia="en-US" w:bidi="ar-SA"/>
              </w:rPr>
              <w:t>Purpose</w:t>
            </w:r>
          </w:p>
        </w:tc>
      </w:tr>
      <w:tr>
        <w:trPr/>
        <w:tc>
          <w:tcPr>
            <w:tcW w:w="46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GET /mlw/v1/storage/dirs?path=...</w:t>
            </w:r>
          </w:p>
        </w:tc>
        <w:tc>
          <w:tcPr>
            <w:tcW w:w="467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List subdirectories of the shared tree that can be chosen</w:t>
            </w:r>
          </w:p>
        </w:tc>
      </w:tr>
      <w:tr>
        <w:trPr/>
        <w:tc>
          <w:tcPr>
            <w:tcW w:w="46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PUT /mlw/v1/storage/root  {"path": "projects/a"}</w:t>
            </w:r>
          </w:p>
        </w:tc>
        <w:tc>
          <w:tcPr>
            <w:tcW w:w="467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Choose the SFTP root; validated and stored per sub</w:t>
            </w:r>
          </w:p>
        </w:tc>
      </w:tr>
      <w:tr>
        <w:trPr/>
        <w:tc>
          <w:tcPr>
            <w:tcW w:w="46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GET /mlw/v1/storage/root</w:t>
            </w:r>
          </w:p>
        </w:tc>
        <w:tc>
          <w:tcPr>
            <w:tcW w:w="467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Show the current choice and the resulting root directory</w:t>
            </w:r>
          </w:p>
        </w:tc>
      </w:tr>
      <w:tr>
        <w:trPr/>
        <w:tc>
          <w:tcPr>
            <w:tcW w:w="46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DELETE /mlw/v1/storage/root</w:t>
            </w:r>
          </w:p>
        </w:tc>
        <w:tc>
          <w:tcPr>
            <w:tcW w:w="467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Return to the private users/&lt;sub&gt; directory</w:t>
            </w:r>
          </w:p>
        </w:tc>
      </w:tr>
    </w:tbl>
    <w:p>
      <w:pPr>
        <w:pStyle w:val="Normal"/>
        <w:rPr/>
      </w:pPr>
      <w:r>
        <w:rPr/>
      </w:r>
    </w:p>
    <w:p>
      <w:pPr>
        <w:pStyle w:val="ListBullet"/>
        <w:numPr>
          <w:ilvl w:val="0"/>
          <w:numId w:val="1"/>
        </w:numPr>
        <w:rPr/>
      </w:pPr>
      <w:r>
        <w:rPr/>
        <w:t>The gateway mounts the data directory read-only at the same path as SFTPGo, so it can check directories itself. It resolves symlinks and rejects absolute paths, '..', files, missing directories and anything that leads outside the shared tree.</w:t>
      </w:r>
    </w:p>
    <w:p>
      <w:pPr>
        <w:pStyle w:val="ListBullet"/>
        <w:numPr>
          <w:ilvl w:val="0"/>
          <w:numId w:val="1"/>
        </w:numPr>
        <w:rPr/>
      </w:pPr>
      <w:r>
        <w:rPr/>
        <w:t>Choices are stored in a small JSON file on a Docker volume (proxy-state) and re-validated at every login. If the chosen directory has disappeared, the login is refused instead of falling back to another directory.</w:t>
      </w:r>
    </w:p>
    <w:p>
      <w:pPr>
        <w:pStyle w:val="ListBullet"/>
        <w:numPr>
          <w:ilvl w:val="0"/>
          <w:numId w:val="1"/>
        </w:numPr>
        <w:rPr/>
      </w:pPr>
      <w:r>
        <w:rPr/>
        <w:t>The new root takes effect for the next SFTP connection; an open session keeps its old root.</w:t>
      </w:r>
    </w:p>
    <w:p>
      <w:pPr>
        <w:pStyle w:val="ListBullet"/>
        <w:numPr>
          <w:ilvl w:val="0"/>
          <w:numId w:val="1"/>
        </w:numPr>
        <w:rPr/>
      </w:pPr>
      <w:r>
        <w:rPr/>
        <w:t>Access control: any user holding the required role may choose any directory in the shared tree, so it should only contain material all such users may see. Private directories under users/ cannot be chosen. Per-user grants are not implemented.</w:t>
      </w:r>
    </w:p>
    <w:p>
      <w:pPr>
        <w:pStyle w:val="Heading1"/>
        <w:rPr/>
      </w:pPr>
      <w:bookmarkStart w:id="912" w:name="_Toc100012"/>
      <w:r>
        <w:rPr/>
        <w:t>5. Ports</w:t>
      </w:r>
      <w:bookmarkEnd w:id="912"/>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340"/>
        <w:gridCol w:w="2340"/>
        <w:gridCol w:w="2340"/>
        <w:gridCol w:w="2339"/>
      </w:tblGrid>
      <w:tr>
        <w:trPr/>
        <w:tc>
          <w:tcPr>
            <w:tcW w:w="2340"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 w:val="20"/>
                <w:szCs w:val="22"/>
                <w:lang w:val="en-US" w:eastAsia="en-US" w:bidi="ar-SA"/>
              </w:rPr>
              <w:t>Host port</w:t>
            </w:r>
          </w:p>
        </w:tc>
        <w:tc>
          <w:tcPr>
            <w:tcW w:w="2340"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 w:val="20"/>
                <w:szCs w:val="22"/>
                <w:lang w:val="en-US" w:eastAsia="en-US" w:bidi="ar-SA"/>
              </w:rPr>
              <w:t>Protocol</w:t>
            </w:r>
          </w:p>
        </w:tc>
        <w:tc>
          <w:tcPr>
            <w:tcW w:w="2340"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 w:val="20"/>
                <w:szCs w:val="22"/>
                <w:lang w:val="en-US" w:eastAsia="en-US" w:bidi="ar-SA"/>
              </w:rPr>
              <w:t>Forwards to</w:t>
            </w:r>
          </w:p>
        </w:tc>
        <w:tc>
          <w:tcPr>
            <w:tcW w:w="2339"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 w:val="20"/>
                <w:szCs w:val="22"/>
                <w:lang w:val="en-US" w:eastAsia="en-US" w:bidi="ar-SA"/>
              </w:rPr>
              <w:t>Enabled</w:t>
            </w:r>
          </w:p>
        </w:tc>
      </w:tr>
      <w:tr>
        <w:trPr/>
        <w:tc>
          <w:tcPr>
            <w:tcW w:w="234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8380</w:t>
            </w:r>
          </w:p>
        </w:tc>
        <w:tc>
          <w:tcPr>
            <w:tcW w:w="234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HTTP (web admin, WebClient, REST API)</w:t>
            </w:r>
          </w:p>
        </w:tc>
        <w:tc>
          <w:tcPr>
            <w:tcW w:w="234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sftpgo:8080</w:t>
            </w:r>
          </w:p>
        </w:tc>
        <w:tc>
          <w:tcPr>
            <w:tcW w:w="233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Always</w:t>
            </w:r>
          </w:p>
        </w:tc>
      </w:tr>
      <w:tr>
        <w:trPr/>
        <w:tc>
          <w:tcPr>
            <w:tcW w:w="234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2222</w:t>
            </w:r>
          </w:p>
        </w:tc>
        <w:tc>
          <w:tcPr>
            <w:tcW w:w="234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SFTP</w:t>
            </w:r>
          </w:p>
        </w:tc>
        <w:tc>
          <w:tcPr>
            <w:tcW w:w="234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sftpgo:2022</w:t>
            </w:r>
          </w:p>
        </w:tc>
        <w:tc>
          <w:tcPr>
            <w:tcW w:w="233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Always</w:t>
            </w:r>
          </w:p>
        </w:tc>
      </w:tr>
      <w:tr>
        <w:trPr/>
        <w:tc>
          <w:tcPr>
            <w:tcW w:w="234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2121</w:t>
            </w:r>
          </w:p>
        </w:tc>
        <w:tc>
          <w:tcPr>
            <w:tcW w:w="234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FTP control</w:t>
            </w:r>
          </w:p>
        </w:tc>
        <w:tc>
          <w:tcPr>
            <w:tcW w:w="234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sftpgo:2121</w:t>
            </w:r>
          </w:p>
        </w:tc>
        <w:tc>
          <w:tcPr>
            <w:tcW w:w="233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FTP_PORT=2121</w:t>
            </w:r>
          </w:p>
        </w:tc>
      </w:tr>
      <w:tr>
        <w:trPr/>
        <w:tc>
          <w:tcPr>
            <w:tcW w:w="234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50000-50009</w:t>
            </w:r>
          </w:p>
        </w:tc>
        <w:tc>
          <w:tcPr>
            <w:tcW w:w="234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FTP passive data</w:t>
            </w:r>
          </w:p>
        </w:tc>
        <w:tc>
          <w:tcPr>
            <w:tcW w:w="234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sftpgo:same port</w:t>
            </w:r>
          </w:p>
        </w:tc>
        <w:tc>
          <w:tcPr>
            <w:tcW w:w="233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FTP_PORT=2121</w:t>
            </w:r>
          </w:p>
        </w:tc>
      </w:tr>
      <w:tr>
        <w:trPr/>
        <w:tc>
          <w:tcPr>
            <w:tcW w:w="234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10080</w:t>
            </w:r>
          </w:p>
        </w:tc>
        <w:tc>
          <w:tcPr>
            <w:tcW w:w="234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WebDAV</w:t>
            </w:r>
          </w:p>
        </w:tc>
        <w:tc>
          <w:tcPr>
            <w:tcW w:w="234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sftpgo:10080</w:t>
            </w:r>
          </w:p>
        </w:tc>
        <w:tc>
          <w:tcPr>
            <w:tcW w:w="233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WEBDAV_PORT=10080</w:t>
            </w:r>
          </w:p>
        </w:tc>
      </w:tr>
    </w:tbl>
    <w:p>
      <w:pPr>
        <w:pStyle w:val="Normal"/>
        <w:rPr/>
      </w:pPr>
      <w:r>
        <w:rPr/>
      </w:r>
    </w:p>
    <w:p>
      <w:pPr>
        <w:pStyle w:val="Normal"/>
        <w:rPr/>
      </w:pPr>
      <w:r>
        <w:rPr/>
        <w:t>The optional ports are always published by Compose, but the gateway only listens on them when the feature is enabled. While disabled, Docker accepts a connection to them and immediately closes it; nothing is served.</w:t>
      </w:r>
    </w:p>
    <w:p>
      <w:pPr>
        <w:pStyle w:val="Heading1"/>
        <w:rPr/>
      </w:pPr>
      <w:bookmarkStart w:id="913" w:name="_Toc100013"/>
      <w:r>
        <w:rPr/>
        <w:t>6. Configuration</w:t>
      </w:r>
      <w:bookmarkEnd w:id="913"/>
    </w:p>
    <w:p>
      <w:pPr>
        <w:pStyle w:val="Heading2"/>
        <w:rPr/>
      </w:pPr>
      <w:bookmarkStart w:id="914" w:name="_Toc100014"/>
      <w:r>
        <w:rPr/>
        <w:t>6.1 Operator settings (.env)</w:t>
      </w:r>
      <w:bookmarkEnd w:id="914"/>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 w:val="20"/>
                <w:szCs w:val="22"/>
                <w:lang w:val="en-US" w:eastAsia="en-US" w:bidi="ar-SA"/>
              </w:rPr>
              <w:t>Variable</w:t>
            </w:r>
          </w:p>
        </w:tc>
        <w:tc>
          <w:tcPr>
            <w:tcW w:w="3120"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 w:val="20"/>
                <w:szCs w:val="22"/>
                <w:lang w:val="en-US" w:eastAsia="en-US" w:bidi="ar-SA"/>
              </w:rPr>
              <w:t>Default</w:t>
            </w:r>
          </w:p>
        </w:tc>
        <w:tc>
          <w:tcPr>
            <w:tcW w:w="3120"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 w:val="20"/>
                <w:szCs w:val="22"/>
                <w:lang w:val="en-US" w:eastAsia="en-US" w:bidi="ar-SA"/>
              </w:rPr>
              <w:t>Purpose</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SFTPGO_ADMIN_PASSWORD</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(required)</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Password of the initial admin account</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SFTPGO_ADMIN_USER</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admin</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Username of the initial admin account</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FTP_PORT</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0 (disabled)</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Set to 2121 to enable FTP</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FTP_PASSIVE_IP</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empty</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Public address advertised for FTP data connections (required for FTP)</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WEBDAV_PORT</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0 (disabled)</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Set to 10080 to enable WebDAV</w:t>
            </w:r>
          </w:p>
        </w:tc>
      </w:tr>
    </w:tbl>
    <w:p>
      <w:pPr>
        <w:pStyle w:val="Normal"/>
        <w:rPr/>
      </w:pPr>
      <w:r>
        <w:rPr/>
      </w:r>
    </w:p>
    <w:p>
      <w:pPr>
        <w:pStyle w:val="Normal"/>
        <w:rPr/>
      </w:pPr>
      <w:r>
        <w:rPr/>
        <w:t>The .env file is excluded from git. .env.example is the committed template. The initial admin account is only created on first start; afterwards change the password in the web admin.</w:t>
      </w:r>
    </w:p>
    <w:p>
      <w:pPr>
        <w:pStyle w:val="Heading2"/>
        <w:rPr/>
      </w:pPr>
      <w:bookmarkStart w:id="915" w:name="_Toc100015"/>
      <w:r>
        <w:rPr/>
        <w:t>6.2 Gateway settings</w:t>
      </w:r>
      <w:bookmarkEnd w:id="915"/>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 w:val="20"/>
                <w:szCs w:val="22"/>
                <w:lang w:val="en-US" w:eastAsia="en-US" w:bidi="ar-SA"/>
              </w:rPr>
              <w:t>Variable</w:t>
            </w:r>
          </w:p>
        </w:tc>
        <w:tc>
          <w:tcPr>
            <w:tcW w:w="3120"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 w:val="20"/>
                <w:szCs w:val="22"/>
                <w:lang w:val="en-US" w:eastAsia="en-US" w:bidi="ar-SA"/>
              </w:rPr>
              <w:t>Default</w:t>
            </w:r>
          </w:p>
        </w:tc>
        <w:tc>
          <w:tcPr>
            <w:tcW w:w="3120"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 w:val="20"/>
                <w:szCs w:val="22"/>
                <w:lang w:val="en-US" w:eastAsia="en-US" w:bidi="ar-SA"/>
              </w:rPr>
              <w:t>Meaning</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PROXY_HTTP_LISTEN</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:8000</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HTTP listen address</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PROXY_SFTP_LISTEN</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:2222</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SFTP listen address</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UPSTREAM_HTTP</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http://sftpgo:8080</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SFTPGo web/API endpoint</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UPSTREAM_SFTP</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sftpgo:2022</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SFTPGo SFTP endpoint</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PROXY_FTP_LISTEN</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0 (disabled)</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FTP listen port; 0 or empty disables</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UPSTREAM_FTP</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sftpgo:2121</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SFTPGo FTP endpoint</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PROXY_FTP_PASV_RANGE</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50000-50009</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Passive data ports relayed 1:1</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PROXY_WEBDAV_LISTEN</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0 (disabled)</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WebDAV listen port; 0 or empty disables</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UPSTREAM_WEBDAV</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http://sftpgo:10080</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SFTPGo WebDAV endpoint</w:t>
            </w:r>
          </w:p>
        </w:tc>
      </w:tr>
    </w:tbl>
    <w:p>
      <w:pPr>
        <w:pStyle w:val="Normal"/>
        <w:rPr/>
      </w:pPr>
      <w:r>
        <w:rPr/>
      </w:r>
    </w:p>
    <w:p>
      <w:pPr>
        <w:pStyle w:val="Heading2"/>
        <w:rPr/>
      </w:pPr>
      <w:bookmarkStart w:id="916" w:name="_Toc100016"/>
      <w:r>
        <w:rPr/>
        <w:t>6.3 Keycloak settings (optional)</w:t>
      </w:r>
      <w:bookmarkEnd w:id="916"/>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 w:val="20"/>
                <w:szCs w:val="22"/>
                <w:lang w:val="en-US" w:eastAsia="en-US" w:bidi="ar-SA"/>
              </w:rPr>
              <w:t>Variable</w:t>
            </w:r>
          </w:p>
        </w:tc>
        <w:tc>
          <w:tcPr>
            <w:tcW w:w="3120"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 w:val="20"/>
                <w:szCs w:val="22"/>
                <w:lang w:val="en-US" w:eastAsia="en-US" w:bidi="ar-SA"/>
              </w:rPr>
              <w:t>Default</w:t>
            </w:r>
          </w:p>
        </w:tc>
        <w:tc>
          <w:tcPr>
            <w:tcW w:w="3120"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 w:val="20"/>
                <w:szCs w:val="22"/>
                <w:lang w:val="en-US" w:eastAsia="en-US" w:bidi="ar-SA"/>
              </w:rPr>
              <w:t>Meaning</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OIDC_ISSUER</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(unset = disabled)</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Expected token issuer, e.g. http://localhost:8180/realms/mlw; setting it enables the feature</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OIDC_JWKS_URL</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keycloak:8080 realm certs URL (override file)</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Where the gateway fetches the realm signing keys</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OIDC_REQUIRED_ROLE</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mlw-user</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Realm role needed to log in; empty requires none</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OIDC_READONLY_ROLE</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empty</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Realm role that limits a user to list and download</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OIDC_ALLOWED_CLIENTS</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empty (any)</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Comma-separated Keycloak client ids accepted in the azp claim</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STORAGE_USERS_DIR</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/srv/sftpgo/users</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Private per-user directories, users/&lt;sub&gt;</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STORAGE_SHARED_DIR</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/srv/sftpgo/shared</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The only tree users may choose a root from (data/shared on the host)</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STORAGE_STATE_FILE</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/var/lib/mlw-proxy/roots.json (override file)</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Where users' chosen directories are stored</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AUTH_HOOK_LISTEN</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:9000</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Internal listen address of the SFTPGo auth hook</w:t>
            </w:r>
          </w:p>
        </w:tc>
      </w:tr>
    </w:tbl>
    <w:p>
      <w:pPr>
        <w:pStyle w:val="Normal"/>
        <w:rPr/>
      </w:pPr>
      <w:r>
        <w:rPr/>
      </w:r>
    </w:p>
    <w:p>
      <w:pPr>
        <w:pStyle w:val="Heading2"/>
        <w:rPr/>
      </w:pPr>
      <w:bookmarkStart w:id="917" w:name="_Toc100017"/>
      <w:r>
        <w:rPr/>
        <w:t>6.4 Production deployment (docker-compose.prod.yml)</w:t>
      </w:r>
      <w:bookmarkEnd w:id="917"/>
    </w:p>
    <w:p>
      <w:pPr>
        <w:pStyle w:val="Normal"/>
        <w:rPr/>
      </w:pPr>
      <w:r>
        <w:rPr/>
        <w:t xml:space="preserve">docker-compose.prod.yml is a standalone Compose file for production releases. It defines the same two services (sftpgo and proxy), network layout, ports and volumes as docker-compose.yml, so the architecture above is unchanged. It is used instead of docker-compose.yml, never together with it. The Keycloak override file can still be combined with it. The differences are in version pinning, hardening and operations:</w:t>
      </w:r>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 w:val="20"/>
                <w:szCs w:val="22"/>
                <w:lang w:val="en-US" w:eastAsia="en-US" w:bidi="ar-SA"/>
              </w:rPr>
              <w:t xml:space="preserve">Setting</w:t>
            </w:r>
          </w:p>
        </w:tc>
        <w:tc>
          <w:tcPr>
            <w:tcW w:w="3120"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 w:val="20"/>
                <w:szCs w:val="22"/>
                <w:lang w:val="en-US" w:eastAsia="en-US" w:bidi="ar-SA"/>
              </w:rPr>
              <w:t xml:space="preserve">Development</w:t>
            </w:r>
          </w:p>
        </w:tc>
        <w:tc>
          <w:tcPr>
            <w:tcW w:w="3120"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 w:val="20"/>
                <w:szCs w:val="22"/>
                <w:lang w:val="en-US" w:eastAsia="en-US" w:bidi="ar-SA"/>
              </w:rPr>
              <w:t xml:space="preserve">Production</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SFTPGo image</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drakkan/sftpgo:v2</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drakkan/sftpgo:${SFTPGO_VERSION} (required, pinned tag)</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Gateway image</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Built from ./src</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Built from ./src, tagged mlw-storage-proxy:${MLW_VERSION:-1.0.0}</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Container hardening</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None</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no-new-privileges, all capabilities dropped; gateway file system read-only</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Logging</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Docker defaults</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json-file, rotated at 10 MB x 5 files</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Restart policy</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unless-stopped</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always</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Host port binding</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All interfaces</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${MLW_BIND_ADDR:-0.0.0.0}, so all gateway ports can be bound to one address</w:t>
            </w:r>
          </w:p>
        </w:tc>
      </w:tr>
    </w:tbl>
    <w:p>
      <w:pPr>
        <w:pStyle w:val="Normal"/>
        <w:rPr/>
      </w:pPr>
      <w:r>
        <w:rPr/>
        <w:t xml:space="preserve"/>
      </w:r>
    </w:p>
    <w:p>
      <w:pPr>
        <w:pStyle w:val="Normal"/>
        <w:rPr/>
      </w:pPr>
      <w:r>
        <w:rPr/>
        <w:t xml:space="preserve">The production-only variables (SFTPGO_VERSION, MLW_VERSION, MLW_BIND_ADDR) are set in .env; SFTPGO_VERSION has no default, and Compose refuses to start without it. The data and persistence layout is the same as in the development stack. See the release notes for build and run instructions.</w:t>
      </w:r>
    </w:p>
    <w:p>
      <w:pPr>
        <w:pStyle w:val="Heading1"/>
        <w:rPr/>
      </w:pPr>
      <w:bookmarkStart w:id="918" w:name="_Toc100018"/>
      <w:r>
        <w:rPr/>
        <w:t>7. Data and persistence</w:t>
      </w:r>
      <w:bookmarkEnd w:id="918"/>
    </w:p>
    <w:p>
      <w:pPr>
        <w:pStyle w:val="ListBullet"/>
        <w:numPr>
          <w:ilvl w:val="0"/>
          <w:numId w:val="1"/>
        </w:numPr>
        <w:rPr/>
      </w:pPr>
      <w:r>
        <w:rPr>
          <w:b/>
        </w:rPr>
        <w:t>User files:</w:t>
      </w:r>
      <w:r>
        <w:rPr/>
        <w:t xml:space="preserve"> ./data on the host, mounted at /srv/sftpgo. It is git-ignored. Create it yourself (mkdir -p data) before the first start; if Docker creates it, it is owned by root and SFTPGo (uid 1000) cannot create user home directories.</w:t>
      </w:r>
    </w:p>
    <w:p>
      <w:pPr>
        <w:pStyle w:val="ListBullet"/>
        <w:numPr>
          <w:ilvl w:val="0"/>
          <w:numId w:val="1"/>
        </w:numPr>
        <w:rPr/>
      </w:pPr>
      <w:r>
        <w:rPr>
          <w:b/>
        </w:rPr>
        <w:t>Database and host keys:</w:t>
      </w:r>
      <w:r>
        <w:rPr/>
        <w:t xml:space="preserve"> Docker volume sftpgo-config, mounted at /var/lib/sftpgo. Removing it (docker compose down -v) deletes users and regenerates SSH host keys, so clients will see a host key change.</w:t>
      </w:r>
    </w:p>
    <w:p>
      <w:pPr>
        <w:pStyle w:val="ListBullet"/>
        <w:numPr>
          <w:ilvl w:val="0"/>
          <w:numId w:val="1"/>
        </w:numPr>
        <w:rPr/>
      </w:pPr>
      <w:r>
        <w:rPr>
          <w:b/>
        </w:rPr>
        <w:t>Gateway:</w:t>
      </w:r>
      <w:r>
        <w:rPr/>
        <w:t xml:space="preserve"> the gateway keeps no state, except (Keycloak feature) the users' chosen root directories in volume proxy-state.</w:t>
      </w:r>
    </w:p>
    <w:p>
      <w:pPr>
        <w:pStyle w:val="Heading1"/>
        <w:rPr/>
      </w:pPr>
      <w:bookmarkStart w:id="919" w:name="_Toc100019"/>
      <w:r>
        <w:rPr/>
        <w:t>8. Security considerations</w:t>
      </w:r>
      <w:bookmarkEnd w:id="919"/>
    </w:p>
    <w:p>
      <w:pPr>
        <w:pStyle w:val="ListBullet"/>
        <w:numPr>
          <w:ilvl w:val="0"/>
          <w:numId w:val="1"/>
        </w:numPr>
        <w:rPr/>
      </w:pPr>
      <w:r>
        <w:rPr/>
        <w:t>SFTPGo is reachable only through the gateway; its ports are not published on the host.</w:t>
      </w:r>
    </w:p>
    <w:p>
      <w:pPr>
        <w:pStyle w:val="ListBullet"/>
        <w:numPr>
          <w:ilvl w:val="0"/>
          <w:numId w:val="1"/>
        </w:numPr>
        <w:rPr/>
      </w:pPr>
      <w:r>
        <w:rPr/>
        <w:t>Authentication and authorization are done entirely by SFTPGo. The gateway adds none of its own and does not rate-limit.</w:t>
      </w:r>
    </w:p>
    <w:p>
      <w:pPr>
        <w:pStyle w:val="ListBullet"/>
        <w:numPr>
          <w:ilvl w:val="0"/>
          <w:numId w:val="1"/>
        </w:numPr>
        <w:rPr/>
      </w:pPr>
      <w:r>
        <w:rPr/>
        <w:t>Because connections are relayed through the gateway, SFTPGo sees the gateway's address as the client address. Per-IP features in SFTPGo (such as defender or IP allow lists) therefore see the gateway rather than the real client until PROXY protocol or similar is added.</w:t>
      </w:r>
    </w:p>
    <w:p>
      <w:pPr>
        <w:pStyle w:val="ListBullet"/>
        <w:numPr>
          <w:ilvl w:val="0"/>
          <w:numId w:val="1"/>
        </w:numPr>
        <w:rPr/>
      </w:pPr>
      <w:r>
        <w:rPr/>
        <w:t>The HTTP proxy sets X-Forwarded-* headers so the real client address is available to the web side.</w:t>
      </w:r>
    </w:p>
    <w:p>
      <w:pPr>
        <w:pStyle w:val="ListBullet"/>
        <w:numPr>
          <w:ilvl w:val="0"/>
          <w:numId w:val="1"/>
        </w:numPr>
        <w:rPr/>
      </w:pPr>
      <w:r>
        <w:rPr/>
        <w:t>The web admin is served over plain HTTP and FTP is unencrypted. Put TLS in front for anything exposed beyond a trusted network.</w:t>
      </w:r>
    </w:p>
    <w:p>
      <w:pPr>
        <w:pStyle w:val="ListBullet"/>
        <w:numPr>
          <w:ilvl w:val="0"/>
          <w:numId w:val="1"/>
        </w:numPr>
        <w:rPr/>
      </w:pPr>
      <w:r>
        <w:rPr/>
        <w:t>Replace the example admin password before exposing the service.</w:t>
      </w:r>
    </w:p>
    <w:p>
      <w:pPr>
        <w:pStyle w:val="ListBullet"/>
        <w:numPr>
          <w:ilvl w:val="0"/>
          <w:numId w:val="1"/>
        </w:numPr>
        <w:rPr/>
      </w:pPr>
      <w:r>
        <w:rPr/>
        <w:t>Keycloak login: the auth hook port (9000) is not published, but any container on the stack's network can call it; it only validates tokens and returns user definitions, so it cannot be used to log in without a valid token.</w:t>
      </w:r>
    </w:p>
    <w:p>
      <w:pPr>
        <w:pStyle w:val="ListBullet"/>
        <w:numPr>
          <w:ilvl w:val="0"/>
          <w:numId w:val="1"/>
        </w:numPr>
        <w:rPr/>
      </w:pPr>
      <w:r>
        <w:rPr/>
        <w:t>Tokens are validated at login only. An open SSH session continues after the token expires; use short-lived tokens and a fresh token per connection.</w:t>
      </w:r>
    </w:p>
    <w:p>
      <w:pPr>
        <w:pStyle w:val="ListBullet"/>
        <w:numPr>
          <w:ilvl w:val="0"/>
          <w:numId w:val="1"/>
        </w:numPr>
        <w:rPr/>
      </w:pPr>
      <w:r>
        <w:rPr/>
        <w:t>The Keycloak realm is trusted for identity and roles. Set OIDC_ALLOWED_CLIENTS to restrict which Keycloak clients' tokens are accepted, and OIDC_REQUIRED_ROLE to restrict which users may use storage.</w:t>
      </w:r>
    </w:p>
    <w:p>
      <w:pPr>
        <w:pStyle w:val="ListBullet"/>
        <w:numPr>
          <w:ilvl w:val="0"/>
          <w:numId w:val="1"/>
        </w:numPr>
        <w:rPr/>
      </w:pPr>
      <w:r>
        <w:rPr/>
        <w:t xml:space="preserve">Production: docker-compose.prod.yml drops all Linux capabilities and sets no-new-privileges on both containers and makes the gateway file system read-only. Set MLW_BIND_ADDR to an internal interface address and terminate TLS in a reverse proxy in front of port 8380.</w:t>
      </w:r>
    </w:p>
    <w:p>
      <w:pPr>
        <w:pStyle w:val="Heading1"/>
        <w:rPr/>
      </w:pPr>
      <w:bookmarkStart w:id="920" w:name="_Toc100020"/>
      <w:r>
        <w:rPr/>
        <w:t>9. Operations</w:t>
      </w:r>
      <w:bookmarkEnd w:id="920"/>
    </w:p>
    <w:p>
      <w:pPr>
        <w:pStyle w:val="Normal"/>
        <w:ind w:left="288"/>
        <w:rPr/>
      </w:pPr>
      <w:r>
        <w:rPr>
          <w:rFonts w:eastAsia="Consolas" w:ascii="Consolas" w:hAnsi="Consolas"/>
          <w:sz w:val="18"/>
        </w:rPr>
        <w:t>cp .env.example .env     # set SFTPGO_ADMIN_PASSWORD</w:t>
        <w:br/>
        <w:t>docker compose up -d --build</w:t>
        <w:br/>
        <w:t>docker compose logs -f proxy</w:t>
        <w:br/>
        <w:t>docker compose down</w:t>
      </w:r>
    </w:p>
    <w:p>
      <w:pPr>
        <w:pStyle w:val="Normal"/>
        <w:rPr/>
      </w:pPr>
      <w:r>
        <w:rPr/>
        <w:t>Web admin: http://localhost:8380. Create SFTP users there, then connect remote servers with an SFTP client on port 2222.</w:t>
      </w:r>
    </w:p>
    <w:p>
      <w:pPr>
        <w:pStyle w:val="Normal"/>
        <w:rPr/>
      </w:pPr>
      <w:r>
        <w:rPr/>
        <w:t xml:space="preserve">For production, set SFTPGO_VERSION in .env and use the production file:</w:t>
      </w:r>
    </w:p>
    <w:p>
      <w:pPr>
        <w:pStyle w:val="Normal"/>
        <w:ind w:left="288"/>
        <w:rPr/>
      </w:pPr>
      <w:r>
        <w:rPr>
          <w:rFonts w:eastAsia="Consolas" w:ascii="Consolas" w:hAnsi="Consolas"/>
          <w:sz w:val="18"/>
        </w:rPr>
        <w:t xml:space="preserve">docker compose -f docker-compose.prod.yml up -d --build</w:t>
        <w:br/>
        <w:t xml:space="preserve">docker compose -f docker-compose.prod.yml logs -f proxy</w:t>
        <w:br/>
        <w:t xml:space="preserve">docker compose -f docker-compose.prod.yml down</w:t>
      </w:r>
    </w:p>
    <w:p>
      <w:pPr>
        <w:pStyle w:val="Heading1"/>
        <w:rPr/>
      </w:pPr>
      <w:bookmarkStart w:id="921" w:name="_Toc100021"/>
      <w:r>
        <w:rPr/>
        <w:t>10. Limitations and possible next steps</w:t>
      </w:r>
      <w:bookmarkEnd w:id="921"/>
    </w:p>
    <w:p>
      <w:pPr>
        <w:pStyle w:val="ListBullet"/>
        <w:numPr>
          <w:ilvl w:val="0"/>
          <w:numId w:val="1"/>
        </w:numPr>
        <w:rPr/>
      </w:pPr>
      <w:r>
        <w:rPr/>
        <w:t>No TLS termination at the gateway.</w:t>
      </w:r>
    </w:p>
    <w:p>
      <w:pPr>
        <w:pStyle w:val="ListBullet"/>
        <w:numPr>
          <w:ilvl w:val="0"/>
          <w:numId w:val="1"/>
        </w:numPr>
        <w:rPr/>
      </w:pPr>
      <w:r>
        <w:rPr/>
        <w:t>Real client IPs are not forwarded for SFTP, FTP and WebDAV-over-TCP paths (consider PROXY protocol support).</w:t>
      </w:r>
    </w:p>
    <w:p>
      <w:pPr>
        <w:pStyle w:val="ListBullet"/>
        <w:numPr>
          <w:ilvl w:val="0"/>
          <w:numId w:val="1"/>
        </w:numPr>
        <w:rPr/>
      </w:pPr>
      <w:r>
        <w:rPr/>
        <w:t>The FTP passive range is fixed at 10 ports, which limits concurrent FTP transfers.</w:t>
      </w:r>
    </w:p>
    <w:p>
      <w:pPr>
        <w:pStyle w:val="ListBullet"/>
        <w:numPr>
          <w:ilvl w:val="0"/>
          <w:numId w:val="1"/>
        </w:numPr>
        <w:rPr/>
      </w:pPr>
      <w:r>
        <w:rPr/>
        <w:t>Rate limiting and audit logging are not implemented. Token authentication covers SFTP/FTP/WebDAV password logins only, not the SFTPGo admin UI.</w:t>
      </w:r>
    </w:p>
    <w:p>
      <w:pPr>
        <w:pStyle w:val="ListBullet"/>
        <w:numPr>
          <w:ilvl w:val="0"/>
          <w:numId w:val="1"/>
        </w:numPr>
        <w:spacing w:before="0" w:after="200"/>
        <w:contextualSpacing/>
        <w:rPr/>
      </w:pPr>
      <w:r>
        <w:rPr/>
        <w:t>Token login: no session revocation when a token expires or a user is disabled in Keycloak, and no fallback to SFTPGo password logins while the feature is enabled.</w:t>
      </w:r>
    </w:p>
    <w:sectPr>
      <w:type w:val="nextPage"/>
      <w:pgSz w:w="12240" w:h="15840"/>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urier">
    <w:altName w:val="Courier New"/>
    <w:charset w:val="01"/>
    <w:family w:val="roman"/>
    <w:pitch w:val="variable"/>
  </w:font>
  <w:font w:name="Liberation Sans">
    <w:altName w:val="Arial"/>
    <w:charset w:val="01"/>
    <w:family w:val="swiss"/>
    <w:pitch w:val="variable"/>
  </w:font>
  <w:font w:name="Consolas">
    <w:charset w:val="01"/>
    <w:family w:val="roman"/>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decimal"/>
      <w:lvlText w:val="%1."/>
      <w:lvlJc w:val="left"/>
      <w:pPr>
        <w:tabs>
          <w:tab w:val="num" w:pos="1080"/>
        </w:tabs>
        <w:ind w:left="108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6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76" w:before="0" w:after="200"/>
      <w:jc w:val="left"/>
    </w:pPr>
    <w:rPr>
      <w:rFonts w:ascii="Calibri" w:hAnsi="Calibri" w:eastAsia="ＭＳ 明朝" w:cs="" w:cstheme="minorBidi" w:eastAsiaTheme="minorEastAsia"/>
      <w:color w:val="auto"/>
      <w:kern w:val="0"/>
      <w:sz w:val="22"/>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ＭＳ ゴシック" w:cs="" w:asciiTheme="majorHAnsi" w:cstheme="majorBidi" w:eastAsiaTheme="majorEastAsia" w:hAnsiTheme="majorHAnsi"/>
      <w:b/>
      <w:bCs/>
      <w:color w:val="1F3A5F"/>
      <w:sz w:val="32"/>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ＭＳ ゴシック" w:cs="" w:asciiTheme="majorHAnsi" w:cstheme="majorBidi" w:eastAsiaTheme="majorEastAsia" w:hAnsiTheme="majorHAnsi"/>
      <w:b/>
      <w:bCs/>
      <w:color w:val="1F3A5F"/>
      <w:sz w:val="26"/>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ＭＳ ゴシック" w:cs="" w:asciiTheme="majorHAnsi" w:cstheme="majorBidi" w:eastAsiaTheme="majorEastAsia" w:hAnsiTheme="majorHAnsi"/>
      <w:b/>
      <w:bCs/>
      <w:color w:themeColor="accent1" w:val="4F81BD"/>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200"/>
      <w:ind w:hanging="360" w:lef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lef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200"/>
      <w:ind w:lef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200"/>
      <w:ind w:hanging="360" w:left="720"/>
      <w:contextualSpacing/>
    </w:pPr>
    <w:rPr/>
  </w:style>
  <w:style w:type="paragraph" w:styleId="List3">
    <w:name w:val="List 3"/>
    <w:basedOn w:val="Normal"/>
    <w:uiPriority w:val="99"/>
    <w:unhideWhenUsed/>
    <w:qFormat/>
    <w:rsid w:val="00326f90"/>
    <w:pPr>
      <w:spacing w:before="0" w:after="200"/>
      <w:ind w:hanging="360" w:left="1080"/>
      <w:contextualSpacing/>
    </w:pPr>
    <w:rPr/>
  </w:style>
  <w:style w:type="paragraph" w:styleId="ListBullet">
    <w:name w:val="List Bullet"/>
    <w:basedOn w:val="Normal"/>
    <w:uiPriority w:val="99"/>
    <w:unhideWhenUsed/>
    <w:rsid w:val="00326f90"/>
    <w:pPr>
      <w:numPr>
        <w:ilvl w:val="0"/>
        <w:numId w:val="1"/>
      </w:numPr>
      <w:spacing w:before="0" w:after="200"/>
      <w:contextualSpacing/>
    </w:pPr>
    <w:rPr/>
  </w:style>
  <w:style w:type="paragraph" w:styleId="ListBullet2">
    <w:name w:val="List Bullet 2"/>
    <w:basedOn w:val="Normal"/>
    <w:uiPriority w:val="99"/>
    <w:unhideWhenUsed/>
    <w:rsid w:val="00326f90"/>
    <w:pPr>
      <w:numPr>
        <w:ilvl w:val="0"/>
        <w:numId w:val="2"/>
      </w:numPr>
      <w:spacing w:before="0" w:after="200"/>
      <w:contextualSpacing/>
    </w:pPr>
    <w:rPr/>
  </w:style>
  <w:style w:type="paragraph" w:styleId="ListBullet3">
    <w:name w:val="List Bullet 3"/>
    <w:basedOn w:val="Normal"/>
    <w:uiPriority w:val="99"/>
    <w:unhideWhenUsed/>
    <w:rsid w:val="00326f90"/>
    <w:pPr>
      <w:numPr>
        <w:ilvl w:val="0"/>
        <w:numId w:val="3"/>
      </w:numPr>
      <w:spacing w:before="0" w:after="200"/>
      <w:contextualSpacing/>
    </w:pPr>
    <w:rPr/>
  </w:style>
  <w:style w:type="paragraph" w:styleId="ListNumber">
    <w:name w:val="List Number"/>
    <w:basedOn w:val="Normal"/>
    <w:uiPriority w:val="99"/>
    <w:unhideWhenUsed/>
    <w:rsid w:val="00326f90"/>
    <w:pPr>
      <w:numPr>
        <w:ilvl w:val="0"/>
        <w:numId w:val="4"/>
      </w:numPr>
      <w:spacing w:before="0" w:after="200"/>
      <w:contextualSpacing/>
    </w:pPr>
    <w:rPr/>
  </w:style>
  <w:style w:type="paragraph" w:styleId="ListNumber2">
    <w:name w:val="List Number 2"/>
    <w:basedOn w:val="Normal"/>
    <w:uiPriority w:val="99"/>
    <w:unhideWhenUsed/>
    <w:rsid w:val="0029639d"/>
    <w:pPr>
      <w:numPr>
        <w:ilvl w:val="0"/>
        <w:numId w:val="5"/>
      </w:numPr>
      <w:spacing w:before="0" w:after="200"/>
      <w:contextualSpacing/>
    </w:pPr>
    <w:rPr/>
  </w:style>
  <w:style w:type="paragraph" w:styleId="ListNumber3">
    <w:name w:val="List Number 3"/>
    <w:basedOn w:val="Normal"/>
    <w:uiPriority w:val="99"/>
    <w:unhideWhenUsed/>
    <w:rsid w:val="0029639d"/>
    <w:pPr>
      <w:numPr>
        <w:ilvl w:val="0"/>
        <w:numId w:val="6"/>
      </w:numPr>
      <w:spacing w:before="0" w:after="200"/>
      <w:contextualSpacing/>
    </w:pPr>
    <w:rPr/>
  </w:style>
  <w:style w:type="paragraph" w:styleId="ListContinue">
    <w:name w:val="List Continue"/>
    <w:basedOn w:val="Normal"/>
    <w:uiPriority w:val="99"/>
    <w:unhideWhenUsed/>
    <w:rsid w:val="0029639d"/>
    <w:pPr>
      <w:spacing w:before="0" w:after="120"/>
      <w:ind w:left="360"/>
      <w:contextualSpacing/>
    </w:pPr>
    <w:rPr/>
  </w:style>
  <w:style w:type="paragraph" w:styleId="ListContinue2">
    <w:name w:val="List Continue 2"/>
    <w:basedOn w:val="Normal"/>
    <w:uiPriority w:val="99"/>
    <w:unhideWhenUsed/>
    <w:rsid w:val="0029639d"/>
    <w:pPr>
      <w:spacing w:before="0" w:after="120"/>
      <w:ind w:left="720"/>
      <w:contextualSpacing/>
    </w:pPr>
    <w:rPr/>
  </w:style>
  <w:style w:type="paragraph" w:styleId="ListContinue3">
    <w:name w:val="List Continue 3"/>
    <w:basedOn w:val="Normal"/>
    <w:uiPriority w:val="99"/>
    <w:unhideWhenUsed/>
    <w:rsid w:val="0029639d"/>
    <w:pPr>
      <w:spacing w:before="0" w:after="120"/>
      <w:ind w:left="1080"/>
      <w:contextualSpacing/>
    </w:pPr>
    <w:rPr/>
  </w:style>
  <w:style w:type="paragraph" w:styleId="macro">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lef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themeColor="text1"/>
      </w:rPr>
      <w:tblPr/>
      <w:tcPr>
        <w:shd w:val="clear" w:color="auto" w:fill="E6E6E6" w:themeFill="tex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themeColor="text1"/>
      </w:rPr>
      <w:tblPr/>
      <w:tcPr>
        <w:shd w:val="clear" w:color="auto" w:fill="EDF2F8" w:themeFill="accen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themeColor="text1"/>
      </w:rPr>
      <w:tblPr/>
      <w:tcPr>
        <w:shd w:val="clear" w:color="auto" w:fill="F8EDED" w:themeFill="accent2"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themeColor="text1"/>
      </w:rPr>
      <w:tblPr/>
      <w:tcPr>
        <w:shd w:val="clear" w:color="auto" w:fill="F5F8EE" w:themeFill="accent3"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themeColor="text1"/>
      </w:rPr>
      <w:tblPr/>
      <w:tcPr>
        <w:shd w:val="clear" w:color="auto" w:fill="F2EFF6" w:themeFill="accent4"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themeColor="text1"/>
      </w:rPr>
      <w:tblPr/>
      <w:tcPr>
        <w:shd w:val="clear" w:color="auto" w:fill="EDF6F9" w:themeFill="accent5"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themeColor="text1"/>
      </w:rPr>
      <w:tblPr/>
      <w:tcPr>
        <w:shd w:val="clear" w:color="auto" w:fill="FEF4EC" w:themeFill="accent6"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000000" w:themeFill="text1" w:themeFillShade="99"/>
      </w:tcPr>
    </w:tblStylePr>
    <w:tblStylePr w:type="firstCol">
      <w:rPr>
        <w:color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themeColor="text1"/>
      </w:rPr>
      <w:tblPr/>
    </w:tblStylePr>
    <w:tblStylePr w:type="nwCell">
      <w:rPr>
        <w:color w:themeColor="text1"/>
      </w:rPr>
      <w:tblPr/>
    </w:tblStylePr>
  </w:style>
  <w:style w:type="table" w:styleId="ColorfulShading-Accent1">
    <w:name w:val="Colorful Shading Accent 1"/>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C4C74" w:themeFill="accent1" w:themeFillShade="99"/>
      </w:tcPr>
    </w:tblStylePr>
    <w:tblStylePr w:type="firstCol">
      <w:rPr>
        <w:color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themeColor="text1"/>
      </w:rPr>
      <w:tblPr/>
    </w:tblStylePr>
    <w:tblStylePr w:type="nwCell">
      <w:rPr>
        <w:color w:themeColor="text1"/>
      </w:rPr>
      <w:tblPr/>
    </w:tblStylePr>
  </w:style>
  <w:style w:type="table" w:styleId="ColorfulShading-Accent2">
    <w:name w:val="Colorful Shading Accent 2"/>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772C2A" w:themeFill="accent2" w:themeFillShade="99"/>
      </w:tcPr>
    </w:tblStylePr>
    <w:tblStylePr w:type="firstCol">
      <w:rPr>
        <w:color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themeColor="text1"/>
      </w:rPr>
      <w:tblPr/>
    </w:tblStylePr>
    <w:tblStylePr w:type="nwCell">
      <w:rPr>
        <w:color w:themeColor="text1"/>
      </w:rPr>
      <w:tblPr/>
    </w:tblStylePr>
  </w:style>
  <w:style w:type="table" w:styleId="ColorfulShading-Accent3">
    <w:name w:val="Colorful Shading Accent 3"/>
    <w:basedOn w:val="TableNormal"/>
    <w:uiPriority w:val="71"/>
    <w:rsid w:val="00cb0664"/>
    <w:pPr>
      <w:spacing w:after="0" w:line="240" w:lineRule="auto"/>
    </w:pPr>
    <w:rPr>
      <w:color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5E7530" w:themeFill="accent3" w:themeFillShade="99"/>
      </w:tcPr>
    </w:tblStylePr>
    <w:tblStylePr w:type="firstCol">
      <w:rPr>
        <w:color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4C3B62" w:themeFill="accent4" w:themeFillShade="99"/>
      </w:tcPr>
    </w:tblStylePr>
    <w:tblStylePr w:type="firstCol">
      <w:rPr>
        <w:color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themeColor="text1"/>
      </w:rPr>
      <w:tblPr/>
    </w:tblStylePr>
    <w:tblStylePr w:type="nwCell">
      <w:rPr>
        <w:color w:themeColor="text1"/>
      </w:rPr>
      <w:tblPr/>
    </w:tblStylePr>
  </w:style>
  <w:style w:type="table" w:styleId="ColorfulShading-Accent5">
    <w:name w:val="Colorful Shading Accent 5"/>
    <w:basedOn w:val="TableNormal"/>
    <w:uiPriority w:val="71"/>
    <w:rsid w:val="00cb0664"/>
    <w:pPr>
      <w:spacing w:after="0" w:line="240" w:lineRule="auto"/>
    </w:pPr>
    <w:rPr>
      <w:color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76A7C" w:themeFill="accent5" w:themeFillShade="99"/>
      </w:tcPr>
    </w:tblStylePr>
    <w:tblStylePr w:type="firstCol">
      <w:rPr>
        <w:color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themeColor="text1"/>
      </w:rPr>
      <w:tblPr/>
    </w:tblStylePr>
    <w:tblStylePr w:type="nwCell">
      <w:rPr>
        <w:color w:themeColor="text1"/>
      </w:rPr>
      <w:tblPr/>
    </w:tblStylePr>
  </w:style>
  <w:style w:type="table" w:styleId="ColorfulShading-Accent6">
    <w:name w:val="Colorful Shading Accent 6"/>
    <w:basedOn w:val="TableNormal"/>
    <w:uiPriority w:val="71"/>
    <w:rsid w:val="00cb0664"/>
    <w:pPr>
      <w:spacing w:after="0" w:line="240" w:lineRule="auto"/>
    </w:pPr>
    <w:rPr>
      <w:color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B65608" w:themeFill="accent6" w:themeFillShade="99"/>
      </w:tcPr>
    </w:tblStylePr>
    <w:tblStylePr w:type="firstCol">
      <w:rPr>
        <w:color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themeColor="text1"/>
      </w:rPr>
      <w:tblPr/>
    </w:tblStylePr>
    <w:tblStylePr w:type="nwCell">
      <w:rPr>
        <w:color w:themeColor="text1"/>
      </w:rPr>
      <w:tblPr/>
    </w:tblStylePr>
  </w:style>
  <w:style w:type="table" w:styleId="ColorfulList">
    <w:name w:val="Colorful List"/>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themeColor="background1"/>
      </w:rPr>
      <w:tblPr/>
      <w:tcPr>
        <w:tcBorders>
          <w:bottom w:val="single" w:color="FFFFFF" w:themeColor="background1" w:sz="12" w:space="0"/>
        </w:tcBorders>
        <w:shd w:val="clear" w:color="auto" w:fill="664E82" w:themeFill="accent4" w:themeFillShade="cc"/>
      </w:tcPr>
    </w:tblStylePr>
    <w:tblStylePr w:type="lastRow">
      <w:rPr>
        <w:b/>
        <w:bCs/>
        <w:color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themeColor="background1"/>
      </w:rPr>
      <w:tblPr/>
      <w:tcPr>
        <w:tcBorders>
          <w:bottom w:val="single" w:color="FFFFFF" w:themeColor="background1" w:sz="12" w:space="0"/>
        </w:tcBorders>
        <w:shd w:val="clear" w:color="auto" w:fill="7E9C40" w:themeFill="accent3" w:themeFillShade="cc"/>
      </w:tcPr>
    </w:tblStylePr>
    <w:tblStylePr w:type="lastRow">
      <w:rPr>
        <w:b/>
        <w:bCs/>
        <w:color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themeColor="background1"/>
      </w:rPr>
      <w:tblPr/>
      <w:tcPr>
        <w:tcBorders>
          <w:bottom w:val="single" w:color="FFFFFF" w:themeColor="background1" w:sz="12" w:space="0"/>
        </w:tcBorders>
        <w:shd w:val="clear" w:color="auto" w:fill="F2730A" w:themeFill="accent6" w:themeFillShade="cc"/>
      </w:tcPr>
    </w:tblStylePr>
    <w:tblStylePr w:type="lastRow">
      <w:rPr>
        <w:b/>
        <w:bCs/>
        <w:color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themeColor="background1"/>
      </w:rPr>
      <w:tblPr/>
      <w:tcPr>
        <w:tcBorders>
          <w:bottom w:val="single" w:color="FFFFFF" w:themeColor="background1" w:sz="12" w:space="0"/>
        </w:tcBorders>
        <w:shd w:val="clear" w:color="auto" w:fill="348DA5" w:themeFill="accent5" w:themeFillShade="cc"/>
      </w:tcPr>
    </w:tblStylePr>
    <w:tblStylePr w:type="lastRow">
      <w:rPr>
        <w:b/>
        <w:bCs/>
        <w:color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themeColor="text1"/>
      </w:rPr>
      <w:tblPr/>
      <w:tcPr>
        <w:shd w:val="clear" w:color="auto" w:fill="999999" w:themeFill="text1" w:themeFillTint="66"/>
      </w:tcPr>
    </w:tblStylePr>
    <w:tblStylePr w:type="firstCol">
      <w:rPr>
        <w:color w:themeColor="background1"/>
      </w:rPr>
      <w:tblPr/>
      <w:tcPr>
        <w:shd w:val="clear" w:color="auto" w:fill="000000" w:themeFill="text1" w:themeFillShade="bf"/>
      </w:tcPr>
    </w:tblStylePr>
    <w:tblStylePr w:type="lastCol">
      <w:rPr>
        <w:color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themeColor="text1"/>
      </w:rPr>
      <w:tblPr/>
      <w:tcPr>
        <w:shd w:val="clear" w:color="auto" w:fill="B8CCE4" w:themeFill="accent1" w:themeFillTint="66"/>
      </w:tcPr>
    </w:tblStylePr>
    <w:tblStylePr w:type="firstCol">
      <w:rPr>
        <w:color w:themeColor="background1"/>
      </w:rPr>
      <w:tblPr/>
      <w:tcPr>
        <w:shd w:val="clear" w:color="auto" w:fill="365F91" w:themeFill="accent1" w:themeFillShade="bf"/>
      </w:tcPr>
    </w:tblStylePr>
    <w:tblStylePr w:type="lastCol">
      <w:rPr>
        <w:color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themeColor="text1"/>
      </w:rPr>
      <w:tblPr/>
      <w:tcPr>
        <w:shd w:val="clear" w:color="auto" w:fill="E5B8B7" w:themeFill="accent2" w:themeFillTint="66"/>
      </w:tcPr>
    </w:tblStylePr>
    <w:tblStylePr w:type="firstCol">
      <w:rPr>
        <w:color w:themeColor="background1"/>
      </w:rPr>
      <w:tblPr/>
      <w:tcPr>
        <w:shd w:val="clear" w:color="auto" w:fill="943634" w:themeFill="accent2" w:themeFillShade="bf"/>
      </w:tcPr>
    </w:tblStylePr>
    <w:tblStylePr w:type="lastCol">
      <w:rPr>
        <w:color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themeColor="text1"/>
      </w:rPr>
      <w:tblPr/>
      <w:tcPr>
        <w:shd w:val="clear" w:color="auto" w:fill="D6E3BC" w:themeFill="accent3" w:themeFillTint="66"/>
      </w:tcPr>
    </w:tblStylePr>
    <w:tblStylePr w:type="firstCol">
      <w:rPr>
        <w:color w:themeColor="background1"/>
      </w:rPr>
      <w:tblPr/>
      <w:tcPr>
        <w:shd w:val="clear" w:color="auto" w:fill="76923C" w:themeFill="accent3" w:themeFillShade="bf"/>
      </w:tcPr>
    </w:tblStylePr>
    <w:tblStylePr w:type="lastCol">
      <w:rPr>
        <w:color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themeColor="text1"/>
      </w:rPr>
      <w:tblPr/>
      <w:tcPr>
        <w:shd w:val="clear" w:color="auto" w:fill="CCC0D9" w:themeFill="accent4" w:themeFillTint="66"/>
      </w:tcPr>
    </w:tblStylePr>
    <w:tblStylePr w:type="firstCol">
      <w:rPr>
        <w:color w:themeColor="background1"/>
      </w:rPr>
      <w:tblPr/>
      <w:tcPr>
        <w:shd w:val="clear" w:color="auto" w:fill="5F497A" w:themeFill="accent4" w:themeFillShade="bf"/>
      </w:tcPr>
    </w:tblStylePr>
    <w:tblStylePr w:type="lastCol">
      <w:rPr>
        <w:color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themeColor="text1"/>
      </w:rPr>
      <w:tblPr/>
      <w:tcPr>
        <w:shd w:val="clear" w:color="auto" w:fill="B6DDE8" w:themeFill="accent5" w:themeFillTint="66"/>
      </w:tcPr>
    </w:tblStylePr>
    <w:tblStylePr w:type="firstCol">
      <w:rPr>
        <w:color w:themeColor="background1"/>
      </w:rPr>
      <w:tblPr/>
      <w:tcPr>
        <w:shd w:val="clear" w:color="auto" w:fill="31849B" w:themeFill="accent5" w:themeFillShade="bf"/>
      </w:tcPr>
    </w:tblStylePr>
    <w:tblStylePr w:type="lastCol">
      <w:rPr>
        <w:color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themeColor="text1"/>
      </w:rPr>
      <w:tblPr/>
      <w:tcPr>
        <w:shd w:val="clear" w:color="auto" w:fill="FBD4B4" w:themeFill="accent6" w:themeFillTint="66"/>
      </w:tcPr>
    </w:tblStylePr>
    <w:tblStylePr w:type="firstCol">
      <w:rPr>
        <w:color w:themeColor="background1"/>
      </w:rPr>
      <w:tblPr/>
      <w:tcPr>
        <w:shd w:val="clear" w:color="auto" w:fill="E36C0A" w:themeFill="accent6" w:themeFillShade="bf"/>
      </w:tcPr>
    </w:tblStylePr>
    <w:tblStylePr w:type="lastCol">
      <w:rPr>
        <w:color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 Id="rId6" Type="http://schemas.openxmlformats.org/officeDocument/2006/relationships/customXml" Target="../customXml/item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Application>LibreOffice/24.2.7.2$Linux_X86_64 LibreOffice_project/420$Build-2</Application>
  <AppVersion>15.0000</AppVersion>
  <Pages>9</Pages>
  <Words>2121</Words>
  <Characters>11614</Characters>
  <CharactersWithSpaces>13789</CharactersWithSpaces>
  <Paragraphs>195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en-US</dc:language>
  <cp:lastModifiedBy/>
  <dcterms:modified xsi:type="dcterms:W3CDTF">2026-10-19T17:35:03Z</dcterms:modified>
  <cp:revision>2</cp:revision>
  <dc:subject/>
  <dc:title>MLW Platform Architecture</dc:title>
</cp:coreProperties>
</file>

<file path=docProps/custom.xml><?xml version="1.0" encoding="utf-8"?>
<Properties xmlns="http://schemas.openxmlformats.org/officeDocument/2006/custom-properties" xmlns:vt="http://schemas.openxmlformats.org/officeDocument/2006/docPropsVTypes"/>
</file>