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80"/>
        <w:jc w:val="center"/>
        <w:rPr/>
      </w:pPr>
      <w:r>
        <w:rPr>
          <w:b/>
          <w:color w:val="2B5D8A"/>
          <w:sz w:val="60"/>
        </w:rPr>
        <w:t>Magic Lantern XSheet Viewer</w:t>
      </w:r>
    </w:p>
    <w:p>
      <w:pPr>
        <w:pStyle w:val="Normal"/>
        <w:spacing w:before="0" w:after="600"/>
        <w:jc w:val="center"/>
        <w:rPr/>
      </w:pPr>
      <w:r>
        <w:rPr>
          <w:rFonts w:ascii="Consolas" w:hAnsi="Consolas"/>
          <w:sz w:val="26"/>
        </w:rPr>
        <w:t>mlw-xsheet</w:t>
      </w:r>
    </w:p>
    <w:p>
      <w:pPr>
        <w:pStyle w:val="Normal"/>
        <w:spacing w:before="0" w:after="120"/>
        <w:jc w:val="center"/>
        <w:rPr/>
      </w:pPr>
      <w:r>
        <w:rPr>
          <w:sz w:val="40"/>
        </w:rPr>
        <w:t>Release Notes — Version 1.6.0</w:t>
      </w:r>
    </w:p>
    <w:p>
      <w:pPr>
        <w:pStyle w:val="Normal"/>
        <w:spacing w:before="0" w:after="1200"/>
        <w:jc w:val="center"/>
        <w:rPr/>
      </w:pPr>
      <w:r>
        <w:rPr>
          <w:sz w:val="24"/>
        </w:rPr>
        <w:t>October 16, 2026</w:t>
      </w:r>
    </w:p>
    <w:p>
      <w:pPr>
        <w:pStyle w:val="Normal"/>
        <w:shd w:val="clear" w:color="auto" w:fill="5898D4"/>
        <w:jc w:val="center"/>
        <w:rPr/>
      </w:pPr>
      <w:r>
        <w:rPr>
          <w:b/>
          <w:color w:val="FFFFFF"/>
          <w:sz w:val="24"/>
        </w:rPr>
        <w:t xml:space="preserve">  </w:t>
      </w:r>
      <w:r>
        <w:rPr>
          <w:b/>
          <w:color w:val="FFFFFF"/>
          <w:sz w:val="24"/>
        </w:rPr>
        <w:t xml:space="preserve">Part of the Magic Lantern Workbench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40"/>
        <w:jc w:val="center"/>
        <w:rPr/>
      </w:pPr>
      <w:r>
        <w:rPr>
          <w:sz w:val="24"/>
        </w:rPr>
        <w:t>Wizzer Works</w:t>
      </w:r>
    </w:p>
    <w:p>
      <w:pPr>
        <w:pStyle w:val="Normal"/>
        <w:jc w:val="center"/>
        <w:rPr/>
      </w:pPr>
      <w:r>
        <w:rPr>
          <w:sz w:val="20"/>
        </w:rPr>
        <w:t>https://github.com/magic-lantern-workbench/mlw-xsheet</w:t>
      </w:r>
      <w:r>
        <w:br w:type="page"/>
      </w:r>
    </w:p>
    <w:p>
      <w:pPr>
        <w:pStyle w:val="Normal"/>
        <w:spacing w:before="0" w:after="120"/>
        <w:rPr/>
      </w:pPr>
      <w:r>
        <w:rPr>
          <w:b/>
          <w:color w:val="2B5D8A"/>
          <w:sz w:val="36"/>
        </w:rPr>
        <w:t>Table of Contents</w:t>
      </w:r>
    </w:p>
    <w:sdt>
      <w:sdtPr>
        <w:docPartObj>
          <w:docPartGallery w:val="Table of Contents"/>
          <w:docPartUnique w:val="true"/>
        </w:docPartObj>
      </w:sdtPr>
      <w:sdtContent>
        <w:p>
          <w:pPr>
            <w:pStyle w:val="TOC1"/>
            <w:tabs>
              <w:tab w:val="clear" w:pos="9360"/>
              <w:tab w:val="right" w:pos="9359" w:leader="dot"/>
            </w:tabs>
            <w:rPr/>
          </w:pPr>
          <w:r>
            <w:fldChar w:fldCharType="begin"/>
          </w:r>
          <w:r>
            <w:rPr>
              <w:webHidden/>
              <w:rStyle w:val="IndexLink"/>
              <w:vanish w:val="false"/>
            </w:rPr>
            <w:instrText xml:space="preserve"> TOC \z \o "1-2" \u \h</w:instrText>
          </w:r>
          <w:r>
            <w:rPr>
              <w:webHidden/>
              <w:rStyle w:val="IndexLink"/>
              <w:vanish w:val="false"/>
            </w:rPr>
            <w:fldChar w:fldCharType="separate"/>
          </w:r>
          <w:hyperlink w:anchor="__RefHeading___Toc9000_150">
            <w:r>
              <w:rPr>
                <w:webHidden/>
                <w:rStyle w:val="IndexLink"/>
                <w:vanish w:val="false"/>
              </w:rPr>
              <w:t>1. Summary</w:t>
            </w:r>
            <w:r>
              <w:rPr>
                <w:rStyle w:val="IndexLink"/>
                <w:vanish w:val="false"/>
              </w:rPr>
              <w:tab/>
              <w:t>2</w:t>
            </w:r>
          </w:hyperlink>
        </w:p>
        <w:p>
          <w:pPr>
            <w:pStyle w:val="TOC2"/>
            <w:tabs>
              <w:tab w:val="clear" w:pos="9077"/>
              <w:tab w:val="right" w:pos="9359" w:leader="dot"/>
            </w:tabs>
            <w:rPr/>
          </w:pPr>
          <w:hyperlink w:anchor="__RefHeading___Toc9001_150">
            <w:r>
              <w:rPr>
                <w:webHidden/>
                <w:rStyle w:val="IndexLink"/>
                <w:vanish w:val="false"/>
              </w:rPr>
              <w:t>Highlights</w:t>
              <w:tab/>
              <w:t>3</w:t>
            </w:r>
          </w:hyperlink>
        </w:p>
        <w:p>
          <w:pPr>
            <w:pStyle w:val="TOC2"/>
            <w:tabs>
              <w:tab w:val="clear" w:pos="9077"/>
              <w:tab w:val="right" w:pos="9359" w:leader="dot"/>
            </w:tabs>
            <w:rPr/>
          </w:pPr>
          <w:hyperlink w:anchor="__RefHeading___Toc9002_150">
            <w:r>
              <w:rPr>
                <w:webHidden/>
                <w:rStyle w:val="IndexLink"/>
                <w:vanish w:val="false"/>
              </w:rPr>
              <w:t>Getting Started</w:t>
              <w:tab/>
              <w:t>3</w:t>
            </w:r>
          </w:hyperlink>
        </w:p>
        <w:p>
          <w:pPr>
            <w:pStyle w:val="TOC1"/>
            <w:tabs>
              <w:tab w:val="clear" w:pos="9360"/>
              <w:tab w:val="right" w:pos="9359" w:leader="dot"/>
            </w:tabs>
            <w:rPr/>
          </w:pPr>
          <w:hyperlink w:anchor="__RefHeading___Toc9003_150">
            <w:r>
              <w:rPr>
                <w:webHidden/>
                <w:rStyle w:val="IndexLink"/>
                <w:vanish w:val="false"/>
              </w:rPr>
              <w:t>2. Update</w:t>
              <w:tab/>
              <w:t>3</w:t>
            </w:r>
          </w:hyperlink>
        </w:p>
        <w:p>
          <w:pPr>
            <w:pStyle w:val="TOC2"/>
            <w:tabs>
              <w:tab w:val="clear" w:pos="9077"/>
              <w:tab w:val="right" w:pos="9359" w:leader="dot"/>
            </w:tabs>
            <w:rPr/>
          </w:pPr>
          <w:hyperlink w:anchor="__RefHeading___Toc9004_150">
            <w:r>
              <w:rPr>
                <w:webHidden/>
                <w:rStyle w:val="IndexLink"/>
                <w:vanish w:val="false"/>
              </w:rPr>
              <w:t>2.1 New Features</w:t>
              <w:tab/>
              <w:t>4</w:t>
            </w:r>
          </w:hyperlink>
        </w:p>
        <w:p>
          <w:pPr>
            <w:pStyle w:val="TOC2"/>
            <w:tabs>
              <w:tab w:val="clear" w:pos="9077"/>
              <w:tab w:val="right" w:pos="9359" w:leader="dot"/>
            </w:tabs>
            <w:rPr/>
          </w:pPr>
          <w:hyperlink w:anchor="__RefHeading___Toc9005_150">
            <w:r>
              <w:rPr>
                <w:webHidden/>
                <w:rStyle w:val="IndexLink"/>
                <w:vanish w:val="false"/>
              </w:rPr>
              <w:t>2.2 Changed Behavior</w:t>
              <w:tab/>
              <w:t>4</w:t>
            </w:r>
          </w:hyperlink>
        </w:p>
        <w:p>
          <w:pPr>
            <w:pStyle w:val="TOC2"/>
            <w:tabs>
              <w:tab w:val="clear" w:pos="9077"/>
              <w:tab w:val="right" w:pos="9359" w:leader="dot"/>
            </w:tabs>
            <w:rPr/>
          </w:pPr>
          <w:hyperlink w:anchor="__RefHeading___Toc9006_150">
            <w:r>
              <w:rPr>
                <w:webHidden/>
                <w:rStyle w:val="IndexLink"/>
                <w:vanish w:val="false"/>
              </w:rPr>
              <w:t>2.3 Schema and Example Changes</w:t>
              <w:tab/>
              <w:t>5</w:t>
            </w:r>
          </w:hyperlink>
        </w:p>
        <w:p>
          <w:pPr>
            <w:pStyle w:val="TOC2"/>
            <w:tabs>
              <w:tab w:val="clear" w:pos="9077"/>
              <w:tab w:val="right" w:pos="9359" w:leader="dot"/>
            </w:tabs>
            <w:rPr/>
          </w:pPr>
          <w:hyperlink w:anchor="__RefHeading___Toc9007_150">
            <w:r>
              <w:rPr>
                <w:webHidden/>
                <w:rStyle w:val="IndexLink"/>
                <w:vanish w:val="false"/>
              </w:rPr>
              <w:t>2.4 Upgrading from 1.5.0</w:t>
              <w:tab/>
              <w:t>5</w:t>
            </w:r>
          </w:hyperlink>
        </w:p>
        <w:p>
          <w:pPr>
            <w:pStyle w:val="TOC1"/>
            <w:tabs>
              <w:tab w:val="clear" w:pos="9360"/>
              <w:tab w:val="right" w:pos="9359" w:leader="dot"/>
            </w:tabs>
            <w:rPr/>
          </w:pPr>
          <w:hyperlink w:anchor="__RefHeading___Toc9008_150">
            <w:r>
              <w:rPr>
                <w:webHidden/>
                <w:rStyle w:val="IndexLink"/>
                <w:vanish w:val="false"/>
              </w:rPr>
              <w:t>3. Feature List</w:t>
              <w:tab/>
              <w:t>5</w:t>
            </w:r>
          </w:hyperlink>
        </w:p>
        <w:p>
          <w:pPr>
            <w:pStyle w:val="TOC2"/>
            <w:tabs>
              <w:tab w:val="clear" w:pos="9077"/>
              <w:tab w:val="right" w:pos="9359" w:leader="dot"/>
            </w:tabs>
            <w:rPr/>
          </w:pPr>
          <w:hyperlink w:anchor="__RefHeading___Toc9009_150">
            <w:r>
              <w:rPr>
                <w:webHidden/>
                <w:rStyle w:val="IndexLink"/>
                <w:vanish w:val="false"/>
              </w:rPr>
              <w:t>3.1 Per-User Storage</w:t>
              <w:tab/>
              <w:t>6</w:t>
            </w:r>
          </w:hyperlink>
        </w:p>
        <w:p>
          <w:pPr>
            <w:pStyle w:val="TOC2"/>
            <w:tabs>
              <w:tab w:val="clear" w:pos="9077"/>
              <w:tab w:val="right" w:pos="9359" w:leader="dot"/>
            </w:tabs>
            <w:rPr/>
          </w:pPr>
          <w:hyperlink w:anchor="__RefHeading___Toc9010_150">
            <w:r>
              <w:rPr>
                <w:webHidden/>
                <w:rStyle w:val="IndexLink"/>
                <w:vanish w:val="false"/>
              </w:rPr>
              <w:t>3.2 The Valkey Key Layout</w:t>
              <w:tab/>
              <w:t>6</w:t>
            </w:r>
          </w:hyperlink>
        </w:p>
        <w:p>
          <w:pPr>
            <w:pStyle w:val="TOC2"/>
            <w:tabs>
              <w:tab w:val="clear" w:pos="9077"/>
              <w:tab w:val="right" w:pos="9359" w:leader="dot"/>
            </w:tabs>
            <w:rPr/>
          </w:pPr>
          <w:hyperlink w:anchor="__RefHeading___Toc9011_150">
            <w:r>
              <w:rPr>
                <w:webHidden/>
                <w:rStyle w:val="IndexLink"/>
                <w:vanish w:val="false"/>
              </w:rPr>
              <w:t>3.3 The Valkey Service</w:t>
              <w:tab/>
              <w:t>7</w:t>
            </w:r>
          </w:hyperlink>
        </w:p>
        <w:p>
          <w:pPr>
            <w:pStyle w:val="TOC2"/>
            <w:tabs>
              <w:tab w:val="clear" w:pos="9077"/>
              <w:tab w:val="right" w:pos="9359" w:leader="dot"/>
            </w:tabs>
            <w:rPr/>
          </w:pPr>
          <w:hyperlink w:anchor="__RefHeading___Toc9012_150">
            <w:r>
              <w:rPr>
                <w:webHidden/>
                <w:rStyle w:val="IndexLink"/>
                <w:vanish w:val="false"/>
              </w:rPr>
              <w:t>3.4 Configuration</w:t>
              <w:tab/>
              <w:t>7</w:t>
            </w:r>
          </w:hyperlink>
        </w:p>
        <w:p>
          <w:pPr>
            <w:pStyle w:val="TOC2"/>
            <w:tabs>
              <w:tab w:val="clear" w:pos="9077"/>
              <w:tab w:val="right" w:pos="9359" w:leader="dot"/>
            </w:tabs>
            <w:rPr/>
          </w:pPr>
          <w:hyperlink w:anchor="__RefHeading___Toc9013_150">
            <w:r>
              <w:rPr>
                <w:webHidden/>
                <w:rStyle w:val="IndexLink"/>
                <w:vanish w:val="false"/>
              </w:rPr>
              <w:t>3.5 Looking After the Data</w:t>
              <w:tab/>
              <w:t>7</w:t>
            </w:r>
          </w:hyperlink>
        </w:p>
        <w:p>
          <w:pPr>
            <w:pStyle w:val="TOC2"/>
            <w:tabs>
              <w:tab w:val="clear" w:pos="9077"/>
              <w:tab w:val="right" w:pos="9359" w:leader="dot"/>
            </w:tabs>
            <w:rPr/>
          </w:pPr>
          <w:hyperlink w:anchor="__RefHeading___Toc9014_150">
            <w:r>
              <w:rPr>
                <w:webHidden/>
                <w:rStyle w:val="IndexLink"/>
                <w:vanish w:val="false"/>
              </w:rPr>
              <w:t>3.6 Your Own File Storage</w:t>
              <w:tab/>
              <w:t>8</w:t>
            </w:r>
          </w:hyperlink>
        </w:p>
        <w:p>
          <w:pPr>
            <w:pStyle w:val="TOC1"/>
            <w:tabs>
              <w:tab w:val="clear" w:pos="9360"/>
              <w:tab w:val="right" w:pos="9359" w:leader="dot"/>
            </w:tabs>
            <w:rPr/>
          </w:pPr>
          <w:hyperlink w:anchor="__RefHeading___Toc9015_150">
            <w:r>
              <w:rPr>
                <w:webHidden/>
                <w:rStyle w:val="IndexLink"/>
                <w:vanish w:val="false"/>
              </w:rPr>
              <w:t>4. Known Limitations</w:t>
              <w:tab/>
              <w:t>9</w:t>
            </w:r>
          </w:hyperlink>
        </w:p>
        <w:p>
          <w:pPr>
            <w:pStyle w:val="TOC1"/>
            <w:tabs>
              <w:tab w:val="clear" w:pos="9360"/>
              <w:tab w:val="right" w:pos="9359" w:leader="dot"/>
            </w:tabs>
            <w:rPr/>
          </w:pPr>
          <w:hyperlink w:anchor="__RefHeading___Toc9990_150">
            <w:r>
              <w:rPr>
                <w:webHidden/>
                <w:rStyle w:val="IndexLink"/>
                <w:vanish w:val="false"/>
              </w:rPr>
              <w:t>Copyright Notice</w:t>
              <w:tab/>
              <w:t>10</w:t>
            </w:r>
          </w:hyperlink>
        </w:p>
        <w:p>
          <w:pPr>
            <w:pStyle w:val="TOC1"/>
            <w:tabs>
              <w:tab w:val="clear" w:pos="9360"/>
              <w:tab w:val="right" w:pos="9359" w:leader="dot"/>
            </w:tabs>
            <w:rPr/>
          </w:pPr>
          <w:hyperlink w:anchor="__RefHeading___Toc9991_150">
            <w:r>
              <w:rPr>
                <w:webHidden/>
                <w:rStyle w:val="IndexLink"/>
                <w:vanish w:val="false"/>
              </w:rPr>
              <w:t>Contact Information</w:t>
              <w:tab/>
              <w:t>12</w:t>
            </w:r>
          </w:hyperlink>
          <w:r>
            <w:rPr>
              <w:rStyle w:val="IndexLink"/>
              <w:vanish w:val="false"/>
            </w:rPr>
            <w:fldChar w:fldCharType="end"/>
          </w:r>
        </w:p>
      </w:sdtContent>
    </w:sdt>
    <w:p>
      <w:pPr>
        <w:pStyle w:val="Heading1"/>
        <w:rPr/>
      </w:pPr>
      <w:bookmarkStart w:id="9001" w:name="__RefHeading___Toc9000_150"/>
      <w:r>
        <w:t>1. Summary</w:t>
      </w:r>
      <w:bookmarkEnd w:id="9001"/>
    </w:p>
    <w:p>
      <w:pPr>
        <w:pStyle w:val="Normal"/>
        <w:rPr/>
      </w:pPr>
      <w:r>
        <w:rPr/>
        <w:t>The Magic Lantern XSheet Viewer (mlw-xsheet) is a browser-based editor and viewer for animation exposure sheets (X-sheets, or dope sheets): the grid that tells an animator, frame by frame, which drawing is shown on each layer and what the camera, dialogue, sound and notes are doing.</w:t>
      </w:r>
    </w:p>
    <w:p>
      <w:pPr>
        <w:pStyle w:val="Normal"/>
        <w:rPr/>
      </w:pPr>
      <w:r>
        <w:rPr/>
        <w:t>An exposure sheet is stored as an ExposureSheet XML document, defined by a modular set of XML Schemas. The app edits that XML directly, shows it as a grid, lets you sketch over it, and exports it as PDF, SVG, XDTS and OCA.</w:t>
      </w:r>
    </w:p>
    <w:p>
      <w:pPr>
        <w:pStyle w:val="Normal"/>
        <w:rPr/>
      </w:pPr>
      <w:r>
        <w:rPr/>
        <w:t>Version 1.6.0 changes where the app keeps each person's saved state. Until now preferences, recent files, the document last worked on and unsaved drafts were kept per browser, in a cookie-identified file on the server, so two people using one browser shared them and one person using two browsers had two copies. They are now kept in Valkey, the open-source (BSD-3-Clause), Redis-compatible in-memory database, run as a new service in the Compose files, under the user who is logged in: they follow the person to any browser, and are not shared with anyone else. It also lets each person open and save their exposure sheets in their own file storage (mlw-storage, an SFTPGo server), reached with their Keycloak login. Everything else is as in version 1.5.0: documents, schemas, Keycloak login and roles carry over unchanged. Section 2, Update, lists everything that is different from version 1.5.0.</w:t>
      </w:r>
    </w:p>
    <w:p>
      <w:pPr>
        <w:pStyle w:val="Heading2"/>
        <w:rPr/>
      </w:pPr>
      <w:bookmarkStart w:id="9002" w:name="__RefHeading___Toc9001_150"/>
      <w:r>
        <w:rPr/>
        <w:t>Highlights</w:t>
      </w:r>
      <w:bookmarkEnd w:id="9002"/>
    </w:p>
    <w:p>
      <w:pPr>
        <w:pStyle w:val="ListBullet"/>
        <w:numPr>
          <w:ilvl w:val="0"/>
          <w:numId w:val="1"/>
        </w:numPr>
        <w:spacing w:before="0" w:after="60"/>
        <w:contextualSpacing/>
        <w:rPr/>
      </w:pPr>
      <w:r>
        <w:rPr>
          <w:b/>
        </w:rPr>
        <w:t>Per-user storage in Valkey</w:t>
      </w:r>
      <w:r>
        <w:rPr/>
        <w:t>: preferences, recent files, the last document and unsaved drafts are saved in Valkey under the logged-in user (a Keycloak user's id, or the built-in account), not under the browser.</w:t>
      </w:r>
    </w:p>
    <w:p>
      <w:pPr>
        <w:pStyle w:val="ListBullet"/>
        <w:numPr>
          <w:ilvl w:val="0"/>
          <w:numId w:val="1"/>
        </w:numPr>
        <w:spacing w:before="0" w:after="60"/>
        <w:contextualSpacing/>
        <w:rPr/>
      </w:pPr>
      <w:r>
        <w:rPr>
          <w:b/>
        </w:rPr>
        <w:t>A valkey service in Compose</w:t>
      </w:r>
      <w:r>
        <w:rPr/>
        <w:t>: compose.yaml adds valkey/valkey:8-alpine with persistent storage (the valkey-data volume) and a health check; the app waits for it. The production file hardens it, and the development file publishes it on localhost for inspection.</w:t>
      </w:r>
    </w:p>
    <w:p>
      <w:pPr>
        <w:pStyle w:val="ListBullet"/>
        <w:numPr>
          <w:ilvl w:val="0"/>
          <w:numId w:val="1"/>
        </w:numPr>
        <w:spacing w:before="0" w:after="60"/>
        <w:contextualSpacing/>
        <w:rPr/>
      </w:pPr>
      <w:r>
        <w:rPr>
          <w:b/>
        </w:rPr>
        <w:t>A defined key layout</w:t>
      </w:r>
      <w:r>
        <w:rPr/>
        <w:t>: three Valkey hashes per user hold the settings, the drafts (one field per document) and who the user is (section 3.2).</w:t>
      </w:r>
    </w:p>
    <w:p>
      <w:pPr>
        <w:pStyle w:val="ListBullet"/>
        <w:numPr>
          <w:ilvl w:val="0"/>
          <w:numId w:val="1"/>
        </w:numPr>
        <w:spacing w:before="0" w:after="60"/>
        <w:contextualSpacing/>
        <w:rPr/>
      </w:pPr>
      <w:r>
        <w:rPr>
          <w:b/>
        </w:rPr>
        <w:t>Safe fallback</w:t>
      </w:r>
      <w:r>
        <w:rPr/>
        <w:t>: if Valkey is switched off or cannot be reached, the app works as in 1.5.0, with the data kept per browser, and writes a note to the server log.</w:t>
      </w:r>
    </w:p>
    <w:p>
      <w:pPr>
        <w:pStyle w:val="ListBullet"/>
        <w:numPr>
          <w:ilvl w:val="0"/>
          <w:numId w:val="1"/>
        </w:numPr>
        <w:spacing w:before="0" w:after="60"/>
        <w:contextualSpacing/>
        <w:rPr/>
      </w:pPr>
      <w:r>
        <w:rPr>
          <w:b/>
        </w:rPr>
        <w:t>Your own file storage</w:t>
      </w:r>
      <w:r>
        <w:rPr/>
        <w:t>: File &gt; Open and Save As browse the logged-in Keycloak user's own folder on the mlw-storage server (SFTP, through its gateway mlw-proxy) instead of the server's data folder. Profile shows which storage and folder is in use, and File &gt; Storage Location lets the user choose the folder.</w:t>
      </w:r>
    </w:p>
    <w:p>
      <w:pPr>
        <w:pStyle w:val="Heading2"/>
        <w:rPr/>
      </w:pPr>
      <w:bookmarkStart w:id="9003" w:name="__RefHeading___Toc9002_150"/>
      <w:r>
        <w:rPr/>
        <w:t>Getting Started</w:t>
      </w:r>
      <w:bookmarkEnd w:id="9003"/>
    </w:p>
    <w:p>
      <w:pPr>
        <w:pStyle w:val="ListBullet"/>
        <w:numPr>
          <w:ilvl w:val="0"/>
          <w:numId w:val="1"/>
        </w:numPr>
        <w:spacing w:before="0" w:after="60"/>
        <w:contextualSpacing/>
        <w:rPr/>
      </w:pPr>
      <w:r>
        <w:rPr>
          <w:b/>
        </w:rPr>
        <w:t>Development</w:t>
      </w:r>
      <w:r>
        <w:rPr/>
        <w:t>: run docker compose up -d --build in the project folder and open http://localhost:8080. Valkey starts with it; nothing needs to be configured.</w:t>
      </w:r>
    </w:p>
    <w:p>
      <w:pPr>
        <w:pStyle w:val="ListBullet"/>
        <w:numPr>
          <w:ilvl w:val="0"/>
          <w:numId w:val="1"/>
        </w:numPr>
        <w:spacing w:before="0" w:after="60"/>
        <w:contextualSpacing/>
        <w:rPr/>
      </w:pPr>
      <w:r>
        <w:rPr>
          <w:b/>
        </w:rPr>
        <w:t>Production</w:t>
      </w:r>
      <w:r>
        <w:rPr/>
        <w:t>: MLW_DOMAIN=your.host docker compose -f compose.yaml -f compose.prod.yaml up -d --build, as before. Optionally set MLW_VALKEY_PASSWORD in .env.</w:t>
      </w:r>
    </w:p>
    <w:p>
      <w:pPr>
        <w:pStyle w:val="ListBullet"/>
        <w:numPr>
          <w:ilvl w:val="0"/>
          <w:numId w:val="1"/>
        </w:numPr>
        <w:spacing w:before="0" w:after="60"/>
        <w:contextualSpacing/>
        <w:rPr/>
      </w:pPr>
      <w:r>
        <w:rPr>
          <w:b/>
        </w:rPr>
        <w:t>Look at the data</w:t>
      </w:r>
      <w:r>
        <w:rPr/>
        <w:t>: docker exec &lt;valkey container&gt; valkey-cli --scan --pattern 'mlw:xsheet:*' lists the records; in development, valkey-cli -p 6380 does the same from the host.</w:t>
      </w:r>
    </w:p>
    <w:p>
      <w:pPr>
        <w:pStyle w:val="ListBullet"/>
        <w:numPr>
          <w:ilvl w:val="0"/>
          <w:numId w:val="1"/>
        </w:numPr>
        <w:spacing w:before="0" w:after="60"/>
        <w:contextualSpacing/>
        <w:rPr/>
      </w:pPr>
      <w:r>
        <w:rPr>
          <w:b/>
        </w:rPr>
        <w:t>Upgrading from 1.5.0</w:t>
      </w:r>
      <w:r>
        <w:rPr/>
        <w:t>: rebuild (see section 2.4). Save any unsaved work first: drafts held only in the old per-browser storage are not carried into Valkey.</w:t>
      </w:r>
    </w:p>
    <w:p>
      <w:pPr>
        <w:pStyle w:val="Heading1"/>
        <w:rPr/>
      </w:pPr>
      <w:bookmarkStart w:id="9004" w:name="__RefHeading___Toc9003_150"/>
      <w:r>
        <w:t>2. Update</w:t>
      </w:r>
      <w:bookmarkEnd w:id="9004"/>
    </w:p>
    <w:p>
      <w:pPr>
        <w:pStyle w:val="Normal"/>
        <w:rPr/>
      </w:pPr>
      <w:r>
        <w:rPr/>
        <w:t>This section describes what is different in version 1.6.0 from version 1.5.0. Section 3 then describes the per-user storage in full.</w:t>
      </w:r>
    </w:p>
    <w:p>
      <w:pPr>
        <w:pStyle w:val="Normal"/>
        <w:rPr/>
      </w:pPr>
      <w:r>
        <w:rPr/>
        <w:t>Version 1.6.0 is a feature release. It keeps the document format and the schemas of 1.5.0, so documents and sketches carry over unchanged, and the Keycloak login, the roles and the built-in fallback account work as before.</w:t>
      </w:r>
    </w:p>
    <w:p>
      <w:pPr>
        <w:pStyle w:val="Heading2"/>
        <w:rPr/>
      </w:pPr>
      <w:bookmarkStart w:id="9005" w:name="__RefHeading___Toc9004_150"/>
      <w:r>
        <w:rPr/>
        <w:t>2.1 New Features</w:t>
      </w:r>
      <w:bookmarkEnd w:id="9005"/>
    </w:p>
    <w:p>
      <w:pPr>
        <w:pStyle w:val="ListBullet"/>
        <w:numPr>
          <w:ilvl w:val="0"/>
          <w:numId w:val="1"/>
        </w:numPr>
        <w:spacing w:before="0" w:after="60"/>
        <w:contextualSpacing/>
        <w:rPr/>
      </w:pPr>
      <w:r>
        <w:rPr>
          <w:b/>
        </w:rPr>
        <w:t>Per-user storage</w:t>
      </w:r>
      <w:r>
        <w:rPr/>
        <w:t>: the app's saved state is kept in Valkey under the logged-in user.</w:t>
      </w:r>
    </w:p>
    <w:p>
      <w:pPr>
        <w:pStyle w:val="ListBullet"/>
        <w:numPr>
          <w:ilvl w:val="0"/>
          <w:numId w:val="1"/>
        </w:numPr>
        <w:spacing w:before="0" w:after="60"/>
        <w:contextualSpacing/>
        <w:rPr/>
      </w:pPr>
      <w:r>
        <w:rPr>
          <w:b/>
        </w:rPr>
        <w:t>Valkey service</w:t>
      </w:r>
      <w:r>
        <w:rPr/>
        <w:t>: a valkey service in compose.yaml (valkey/valkey:8-alpine, valkey-data volume, append-only persistence, health check), with a hardened version in compose.prod.yaml and a localhost port in compose.override.yaml.</w:t>
      </w:r>
    </w:p>
    <w:p>
      <w:pPr>
        <w:pStyle w:val="ListBullet"/>
        <w:numPr>
          <w:ilvl w:val="0"/>
          <w:numId w:val="1"/>
        </w:numPr>
        <w:spacing w:before="0" w:after="60"/>
        <w:contextualSpacing/>
        <w:rPr/>
      </w:pPr>
      <w:r>
        <w:rPr>
          <w:b/>
        </w:rPr>
        <w:t>Key layout</w:t>
      </w:r>
      <w:r>
        <w:rPr/>
        <w:t>: &lt;prefix&gt;:user:&lt;user&gt; (settings), &lt;prefix&gt;:user:&lt;user&gt;:drafts (one field per document) and &lt;prefix&gt;:user:&lt;user&gt;:meta (who the user is).</w:t>
      </w:r>
    </w:p>
    <w:p>
      <w:pPr>
        <w:pStyle w:val="ListBullet"/>
        <w:numPr>
          <w:ilvl w:val="0"/>
          <w:numId w:val="1"/>
        </w:numPr>
        <w:spacing w:before="0" w:after="60"/>
        <w:contextualSpacing/>
        <w:rPr/>
      </w:pPr>
      <w:r>
        <w:rPr>
          <w:b/>
        </w:rPr>
        <w:t>Valkey settings</w:t>
      </w:r>
      <w:r>
        <w:rPr/>
        <w:t>: MLW_VALKEY_URL, MLW_VALKEY_PASSWORD, MLW_VALKEY_PREFIX and MLW_VALKEY_HOST_PORT in .env (a template is in .env.example), passed through by compose.yaml.</w:t>
      </w:r>
    </w:p>
    <w:p>
      <w:pPr>
        <w:pStyle w:val="ListBullet"/>
        <w:numPr>
          <w:ilvl w:val="0"/>
          <w:numId w:val="1"/>
        </w:numPr>
        <w:spacing w:before="0" w:after="60"/>
        <w:contextualSpacing/>
        <w:rPr/>
      </w:pPr>
      <w:r>
        <w:rPr>
          <w:b/>
        </w:rPr>
        <w:t>Fallback</w:t>
      </w:r>
      <w:r>
        <w:rPr/>
        <w:t>: with MLW_VALKEY_URL empty, or Valkey unreachable, the data stays per browser, as before.</w:t>
      </w:r>
    </w:p>
    <w:p>
      <w:pPr>
        <w:pStyle w:val="ListBullet"/>
        <w:numPr>
          <w:ilvl w:val="0"/>
          <w:numId w:val="1"/>
        </w:numPr>
        <w:spacing w:before="0" w:after="60"/>
        <w:contextualSpacing/>
        <w:rPr/>
      </w:pPr>
      <w:r>
        <w:rPr>
          <w:b/>
        </w:rPr>
        <w:t>Per-user file storage</w:t>
      </w:r>
      <w:r>
        <w:rPr/>
        <w:t>: File &gt; Open and Save As work on the user's own mlw-storage folder (section 3.6). Profile shows the storage, the folder and the access; File &gt; Storage Location chooses the folder.</w:t>
      </w:r>
    </w:p>
    <w:p>
      <w:pPr>
        <w:pStyle w:val="ListBullet"/>
        <w:numPr>
          <w:ilvl w:val="0"/>
          <w:numId w:val="1"/>
        </w:numPr>
        <w:spacing w:before="0" w:after="60"/>
        <w:contextualSpacing/>
        <w:rPr/>
      </w:pPr>
      <w:r>
        <w:rPr>
          <w:b/>
        </w:rPr>
        <w:t>Storage settings</w:t>
      </w:r>
      <w:r>
        <w:rPr/>
        <w:t>: MLW_STORAGE_URL and related variables in .env; tools/keycloak_setup.py gives new users the mlw-user role the storage requires (--storage-role).</w:t>
      </w:r>
    </w:p>
    <w:p>
      <w:pPr>
        <w:pStyle w:val="ListBullet"/>
        <w:numPr>
          <w:ilvl w:val="0"/>
          <w:numId w:val="1"/>
        </w:numPr>
        <w:spacing w:before="0" w:after="60"/>
        <w:contextualSpacing/>
        <w:rPr/>
      </w:pPr>
      <w:r>
        <w:rPr>
          <w:b/>
        </w:rPr>
        <w:t>userstore.py</w:t>
      </w:r>
      <w:r>
        <w:rPr/>
        <w:t>: the new module that holds the Valkey-backed store.</w:t>
      </w:r>
    </w:p>
    <w:p>
      <w:pPr>
        <w:pStyle w:val="Normal"/>
        <w:rPr/>
      </w:pPr>
      <w:r>
        <w:rPr/>
        <w:t>Section 3 describes each of them in full.</w:t>
      </w:r>
    </w:p>
    <w:p>
      <w:pPr>
        <w:pStyle w:val="Heading2"/>
        <w:rPr/>
      </w:pPr>
      <w:bookmarkStart w:id="9006" w:name="__RefHeading___Toc9005_150"/>
      <w:r>
        <w:rPr/>
        <w:t>2.2 Changed Behavior</w:t>
      </w:r>
      <w:bookmarkEnd w:id="9006"/>
    </w:p>
    <w:p>
      <w:pPr>
        <w:pStyle w:val="ListBullet"/>
        <w:numPr>
          <w:ilvl w:val="0"/>
          <w:numId w:val="1"/>
        </w:numPr>
        <w:spacing w:before="0" w:after="60"/>
        <w:contextualSpacing/>
        <w:rPr/>
      </w:pPr>
      <w:r>
        <w:rPr>
          <w:b/>
        </w:rPr>
        <w:t>Who owns the saved state</w:t>
      </w:r>
      <w:r>
        <w:rPr/>
        <w:t>: in 1.5.0, a browser, identified by a cookie; in 1.6.0, the logged-in user, wherever they log in from.</w:t>
      </w:r>
    </w:p>
    <w:p>
      <w:pPr>
        <w:pStyle w:val="ListBullet"/>
        <w:numPr>
          <w:ilvl w:val="0"/>
          <w:numId w:val="1"/>
        </w:numPr>
        <w:spacing w:before="0" w:after="60"/>
        <w:contextualSpacing/>
        <w:rPr/>
      </w:pPr>
      <w:r>
        <w:rPr>
          <w:b/>
        </w:rPr>
        <w:t>Two people, one browser</w:t>
      </w:r>
      <w:r>
        <w:rPr/>
        <w:t>: in 1.5.0, they shared preferences, recent files and drafts; in 1.6.0, each has their own.</w:t>
      </w:r>
    </w:p>
    <w:p>
      <w:pPr>
        <w:pStyle w:val="ListBullet"/>
        <w:numPr>
          <w:ilvl w:val="0"/>
          <w:numId w:val="1"/>
        </w:numPr>
        <w:spacing w:before="0" w:after="60"/>
        <w:contextualSpacing/>
        <w:rPr/>
      </w:pPr>
      <w:r>
        <w:rPr>
          <w:b/>
        </w:rPr>
        <w:t>One person, two browsers</w:t>
      </w:r>
      <w:r>
        <w:rPr/>
        <w:t>: in 1.5.0, each browser had its own copy; in 1.6.0, one copy, shared by both.</w:t>
      </w:r>
    </w:p>
    <w:p>
      <w:pPr>
        <w:pStyle w:val="ListBullet"/>
        <w:numPr>
          <w:ilvl w:val="0"/>
          <w:numId w:val="1"/>
        </w:numPr>
        <w:spacing w:before="0" w:after="60"/>
        <w:contextualSpacing/>
        <w:rPr/>
      </w:pPr>
      <w:r>
        <w:rPr>
          <w:b/>
        </w:rPr>
        <w:t>Open and Save As</w:t>
      </w:r>
      <w:r>
        <w:rPr/>
        <w:t>: in 1.5.0, they used the server's data folder; in 1.6.0, for Keycloak users with storage set up, they use the user's own storage, and report an error if it cannot be reached. The built-in account, and installations without MLW_STORAGE_URL, keep the data folder.</w:t>
      </w:r>
    </w:p>
    <w:p>
      <w:pPr>
        <w:pStyle w:val="ListBullet"/>
        <w:numPr>
          <w:ilvl w:val="0"/>
          <w:numId w:val="1"/>
        </w:numPr>
        <w:spacing w:before="0" w:after="60"/>
        <w:contextualSpacing/>
        <w:rPr/>
      </w:pPr>
      <w:r>
        <w:rPr>
          <w:b/>
        </w:rPr>
        <w:t>Where it is kept</w:t>
      </w:r>
      <w:r>
        <w:rPr/>
        <w:t>: in 1.5.0, files in NICEGUI_STORAGE_PATH; in 1.6.0, Valkey (the valkey-data volume), unless Valkey is off.</w:t>
      </w:r>
    </w:p>
    <w:p>
      <w:pPr>
        <w:pStyle w:val="ListBullet"/>
        <w:numPr>
          <w:ilvl w:val="0"/>
          <w:numId w:val="1"/>
        </w:numPr>
        <w:spacing w:before="0" w:after="60"/>
        <w:contextualSpacing/>
        <w:rPr/>
      </w:pPr>
      <w:r>
        <w:rPr>
          <w:b/>
        </w:rPr>
        <w:t>Services in Compose</w:t>
      </w:r>
      <w:r>
        <w:rPr/>
        <w:t>: in 1.5.0, xsheet (and caddy in production); in 1.6.0, also valkey; xsheet starts after it is healthy.</w:t>
      </w:r>
    </w:p>
    <w:p>
      <w:pPr>
        <w:pStyle w:val="ListBullet"/>
        <w:numPr>
          <w:ilvl w:val="0"/>
          <w:numId w:val="1"/>
        </w:numPr>
        <w:spacing w:before="0" w:after="60"/>
        <w:contextualSpacing/>
        <w:rPr/>
      </w:pPr>
      <w:r>
        <w:rPr>
          <w:b/>
        </w:rPr>
        <w:t>Pop-up log files</w:t>
      </w:r>
      <w:r>
        <w:rPr/>
        <w:t>: in 1.5.0, per browser, in NICEGUI_STORAGE_PATH/logs; in 1.6.0, unchanged. Only the log settings (on or off, time zone) follow the user.</w:t>
      </w:r>
    </w:p>
    <w:p>
      <w:pPr>
        <w:pStyle w:val="ListBullet"/>
        <w:numPr>
          <w:ilvl w:val="0"/>
          <w:numId w:val="1"/>
        </w:numPr>
        <w:spacing w:before="0" w:after="60"/>
        <w:contextualSpacing/>
        <w:rPr/>
      </w:pPr>
      <w:r>
        <w:rPr>
          <w:b/>
        </w:rPr>
        <w:t>Login state and server settings</w:t>
      </w:r>
      <w:r>
        <w:rPr/>
        <w:t>: in 1.5.0, in NiceGUI's storage; in 1.6.0, unchanged: who is logged in, their roles, the built-in password and the time-out stay there.</w:t>
      </w:r>
    </w:p>
    <w:p>
      <w:pPr>
        <w:pStyle w:val="Heading2"/>
        <w:rPr/>
      </w:pPr>
      <w:bookmarkStart w:id="9007" w:name="__RefHeading___Toc9006_150"/>
      <w:r>
        <w:rPr/>
        <w:t>2.3 Schema and Example Changes</w:t>
      </w:r>
      <w:bookmarkEnd w:id="9007"/>
    </w:p>
    <w:p>
      <w:pPr>
        <w:pStyle w:val="Normal"/>
        <w:rPr/>
      </w:pPr>
      <w:r>
        <w:rPr/>
        <w:t>None. The schemas and the example document are unchanged from 1.5.0.</w:t>
      </w:r>
    </w:p>
    <w:p>
      <w:pPr>
        <w:pStyle w:val="Heading2"/>
        <w:rPr/>
      </w:pPr>
      <w:bookmarkStart w:id="9008" w:name="__RefHeading___Toc9007_150"/>
      <w:r>
        <w:rPr/>
        <w:t>2.4 Upgrading from 1.5.0</w:t>
      </w:r>
      <w:bookmarkEnd w:id="9008"/>
    </w:p>
    <w:p>
      <w:pPr>
        <w:pStyle w:val="ListBullet"/>
        <w:numPr>
          <w:ilvl w:val="0"/>
          <w:numId w:val="1"/>
        </w:numPr>
        <w:spacing w:before="0" w:after="60"/>
        <w:contextualSpacing/>
        <w:rPr/>
      </w:pPr>
      <w:r>
        <w:rPr>
          <w:b/>
        </w:rPr>
        <w:t>Save first</w:t>
      </w:r>
      <w:r>
        <w:rPr/>
        <w:t>: unsaved drafts that exist only in the old per-browser storage are not moved to Valkey, because a browser may have been used by more than one person. Save or close your documents before upgrading.</w:t>
      </w:r>
    </w:p>
    <w:p>
      <w:pPr>
        <w:pStyle w:val="ListBullet"/>
        <w:numPr>
          <w:ilvl w:val="0"/>
          <w:numId w:val="1"/>
        </w:numPr>
        <w:spacing w:before="0" w:after="60"/>
        <w:contextualSpacing/>
        <w:rPr/>
      </w:pPr>
      <w:r>
        <w:rPr>
          <w:b/>
        </w:rPr>
        <w:t>Development</w:t>
      </w:r>
      <w:r>
        <w:rPr/>
        <w:t>: docker compose up -d --build. This starts the valkey service and a valkey-data volume, and the app installs the new Python package (valkey) at start-up.</w:t>
      </w:r>
    </w:p>
    <w:p>
      <w:pPr>
        <w:pStyle w:val="ListBullet"/>
        <w:numPr>
          <w:ilvl w:val="0"/>
          <w:numId w:val="1"/>
        </w:numPr>
        <w:spacing w:before="0" w:after="60"/>
        <w:contextualSpacing/>
        <w:rPr/>
      </w:pPr>
      <w:r>
        <w:rPr>
          <w:b/>
        </w:rPr>
        <w:t>Production</w:t>
      </w:r>
      <w:r>
        <w:rPr/>
        <w:t>: docker compose -f compose.yaml -f compose.prod.yaml up -d --build. The valkey-data volume is new (named mlw-xsheet-prod_valkey-data); keep it between deploys, because it holds each user's settings and drafts. No new variable is required.</w:t>
      </w:r>
    </w:p>
    <w:p>
      <w:pPr>
        <w:pStyle w:val="ListBullet"/>
        <w:numPr>
          <w:ilvl w:val="0"/>
          <w:numId w:val="1"/>
        </w:numPr>
        <w:spacing w:before="0" w:after="60"/>
        <w:contextualSpacing/>
        <w:rPr/>
      </w:pPr>
      <w:r>
        <w:rPr>
          <w:b/>
        </w:rPr>
        <w:t>Preferences</w:t>
      </w:r>
      <w:r>
        <w:rPr/>
        <w:t>: the first time a user logs in, their record starts from the preferences of the browser they use (format, XSheet style, Sketchpad text, report options, recent files and so on, but not drafts), so most people see no change. After that, Valkey is the source.</w:t>
      </w:r>
    </w:p>
    <w:p>
      <w:pPr>
        <w:pStyle w:val="ListBullet"/>
        <w:numPr>
          <w:ilvl w:val="0"/>
          <w:numId w:val="1"/>
        </w:numPr>
        <w:spacing w:before="0" w:after="60"/>
        <w:contextualSpacing/>
        <w:rPr/>
      </w:pPr>
      <w:r>
        <w:rPr>
          <w:b/>
        </w:rPr>
        <w:t>Keeping the old behaviour</w:t>
      </w:r>
      <w:r>
        <w:rPr/>
        <w:t>: set MLW_VALKEY_URL= (empty) in .env, and the app keeps the data per browser.</w:t>
      </w:r>
    </w:p>
    <w:p>
      <w:pPr>
        <w:pStyle w:val="ListBullet"/>
        <w:numPr>
          <w:ilvl w:val="0"/>
          <w:numId w:val="1"/>
        </w:numPr>
        <w:spacing w:before="0" w:after="60"/>
        <w:contextualSpacing/>
        <w:rPr/>
      </w:pPr>
      <w:r>
        <w:rPr>
          <w:b/>
        </w:rPr>
        <w:t>Storage</w:t>
      </w:r>
      <w:r>
        <w:rPr/>
        <w:t>: optional. Set MLW_STORAGE_URL (and MLW_STORAGE_SFTP_HOST) in .env to the mlw-storage gateway, and give users the mlw-user role in Keycloak (tools/keycloak_setup.py --storage-role does so for the user it creates). New Python packages (paramiko and its dependencies) are installed at start-up; see doc/licenses.txt.</w:t>
      </w:r>
    </w:p>
    <w:p>
      <w:pPr>
        <w:pStyle w:val="ListBullet"/>
        <w:numPr>
          <w:ilvl w:val="0"/>
          <w:numId w:val="1"/>
        </w:numPr>
        <w:spacing w:before="0" w:after="60"/>
        <w:contextualSpacing/>
        <w:rPr/>
      </w:pPr>
      <w:r>
        <w:rPr>
          <w:b/>
        </w:rPr>
        <w:t>Unchanged</w:t>
      </w:r>
      <w:r>
        <w:rPr/>
        <w:t>: Keycloak settings, roles, the built-in account, documents, sketches and the Compose project names.</w:t>
      </w:r>
    </w:p>
    <w:p>
      <w:pPr>
        <w:pStyle w:val="Heading1"/>
        <w:rPr/>
      </w:pPr>
      <w:bookmarkStart w:id="9009" w:name="__RefHeading___Toc9008_150"/>
      <w:r>
        <w:t>3. Feature List</w:t>
      </w:r>
      <w:bookmarkEnd w:id="9009"/>
    </w:p>
    <w:p>
      <w:pPr>
        <w:pStyle w:val="Normal"/>
        <w:rPr/>
      </w:pPr>
      <w:r>
        <w:rPr/>
        <w:t>New and changed features are described here; everything else is as in the 1.5.0 and 1.4.0 release notes.</w:t>
      </w:r>
    </w:p>
    <w:p>
      <w:pPr>
        <w:pStyle w:val="Heading2"/>
        <w:rPr/>
      </w:pPr>
      <w:bookmarkStart w:id="9010" w:name="__RefHeading___Toc9009_150"/>
      <w:r>
        <w:rPr/>
        <w:t>3.1 Per-User Storage</w:t>
      </w:r>
      <w:bookmarkEnd w:id="9010"/>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7055"/>
      </w:tblGrid>
      <w:tr>
        <w:trPr>
          <w:tblHeader w:val="true"/>
        </w:trPr>
        <w:tc>
          <w:tcPr>
            <w:tcW w:w="2304"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9"/>
                <w:szCs w:val="22"/>
                <w:lang w:val="en-US" w:eastAsia="en-US" w:bidi="ar-SA"/>
              </w:rPr>
              <w:t>Feature</w:t>
            </w:r>
          </w:p>
        </w:tc>
        <w:tc>
          <w:tcPr>
            <w:tcW w:w="7055"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9"/>
                <w:szCs w:val="22"/>
                <w:lang w:val="en-US" w:eastAsia="en-US" w:bidi="ar-SA"/>
              </w:rPr>
              <w:t>Capability</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What is stored</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Preferences (the Format layout, XSheet style, Sketchpad text type and size, report sections, Export XSheet and Export OCA options, whether the XML tab is shown, the pop-up log settings), the chosen schema, recent files and how many to list, the folder File &gt; Open starts in, the folder the storage dialogs start in, the document last worked on and each document's unsaved draft (its text, and its unsaved sketch).</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Who owns it</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The logged-in user. A Keycloak user is identified by kc:&lt;realm&gt;:&lt;Keycloak user id&gt;, which never changes even if the user name does; the built-in account is local:&lt;name&gt;. Nobody else, including another person using the same browser, sees it.</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Across browsers</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Logging in as the same user from another browser or machine shows the same preferences, recent files and drafts. One copy is held in the app and written through to Valkey on every change.</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Why Valkey</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Valkey is a Linux Foundation fork of Redis under the BSD-3-Clause licence, and speaks the same protocol, so the standard clients work with it. It was chosen over Redis 7.4 and later, whose licence is source-available rather than open source.</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Persistence</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Valkey writes every change to an append-only file in the valkey-data volume, so the data survives restarts of Valkey, the app and the host. Records have no expiry.</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First login</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When a user has no record yet it is created from the preferences of the browser they log in from. Drafts are not imported, as a browser may have been used by someone else.</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Fallback</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With MLW_VALKEY_URL empty, or Valkey unreachable, the app uses NiceGUI's per-browser storage as in 1.5.0, and logs one warning. When Valkey comes back, the next login uses it again.</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Failures while running</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If a write to Valkey fails, the change is kept in memory and a warning is logged once; the app keeps working.</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Still per browser</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Who is logged in and their roles (the login cookie), the built-in password, the idle time-out and the pop-up log files are not in Valkey.</w:t>
            </w:r>
          </w:p>
        </w:tc>
      </w:tr>
    </w:tbl>
    <w:p>
      <w:pPr>
        <w:pStyle w:val="Normal"/>
        <w:spacing w:before="0" w:after="40"/>
        <w:rPr/>
      </w:pPr>
      <w:r>
        <w:rPr/>
      </w:r>
    </w:p>
    <w:p>
      <w:pPr>
        <w:pStyle w:val="Heading2"/>
        <w:rPr/>
      </w:pPr>
      <w:bookmarkStart w:id="9011" w:name="__RefHeading___Toc9010_150"/>
      <w:r>
        <w:rPr/>
        <w:t>3.2 The Valkey Key Layout</w:t>
      </w:r>
      <w:bookmarkEnd w:id="9011"/>
    </w:p>
    <w:p>
      <w:pPr>
        <w:pStyle w:val="Normal"/>
        <w:rPr/>
      </w:pPr>
      <w:r>
        <w:rPr/>
        <w:t>Every key starts with the prefix (MLW_VALKEY_PREFIX, default mlw:xsheet). &lt;user&gt; is as described above.</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7055"/>
      </w:tblGrid>
      <w:tr>
        <w:trPr>
          <w:tblHeader w:val="true"/>
        </w:trPr>
        <w:tc>
          <w:tcPr>
            <w:tcW w:w="2304"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9"/>
                <w:szCs w:val="22"/>
                <w:lang w:val="en-US" w:eastAsia="en-US" w:bidi="ar-SA"/>
              </w:rPr>
              <w:t>Key (type)</w:t>
            </w:r>
          </w:p>
        </w:tc>
        <w:tc>
          <w:tcPr>
            <w:tcW w:w="7055"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9"/>
                <w:szCs w:val="22"/>
                <w:lang w:val="en-US" w:eastAsia="en-US" w:bidi="ar-SA"/>
              </w:rPr>
              <w:t>Contents</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&lt;prefix&gt;:user:&lt;user&gt; (hash)</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One field per setting, each value JSON: format_prefs, schema_path, xsheet_style, report_sections, report_include_raw, export_sketch, sketch_font, sketch_font_size, xml_editor, popup_log, popup_log_time, popup_log_zone, oca_export, recent_files, recent_files_limit, open_dir, storage_dir, last_document.</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&lt;prefix&gt;:user:&lt;user&gt;:drafts (hash)</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One field per document with unsaved changes. The field is the document's path (@untitled for a document that has never been saved); the value is JSON {text, saved_content, sketch (if the sketch is unsaved), saved_at}. Saving one document's draft writes only its field.</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&lt;prefix&gt;:user:&lt;user&gt;:meta (hash)</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username, source (keycloak or local), realm, user_id, created and last_seen (ISO 8601, UTC).</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Example</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mlw:xsheet:user:kc:mlw:3f6c...:drafts, field /data/shot.xml. HGETALL mlw:xsheet:user:local:admin shows the built-in account's settings.</w:t>
            </w:r>
          </w:p>
        </w:tc>
      </w:tr>
    </w:tbl>
    <w:p>
      <w:pPr>
        <w:pStyle w:val="Normal"/>
        <w:spacing w:before="0" w:after="40"/>
        <w:rPr/>
      </w:pPr>
      <w:r>
        <w:rPr/>
      </w:r>
    </w:p>
    <w:p>
      <w:pPr>
        <w:pStyle w:val="Heading2"/>
        <w:rPr/>
      </w:pPr>
      <w:bookmarkStart w:id="9012" w:name="__RefHeading___Toc9011_150"/>
      <w:r>
        <w:rPr/>
        <w:t>3.3 The Valkey Service</w:t>
      </w:r>
      <w:bookmarkEnd w:id="9012"/>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7055"/>
      </w:tblGrid>
      <w:tr>
        <w:trPr>
          <w:tblHeader w:val="true"/>
        </w:trPr>
        <w:tc>
          <w:tcPr>
            <w:tcW w:w="2304"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9"/>
                <w:szCs w:val="22"/>
                <w:lang w:val="en-US" w:eastAsia="en-US" w:bidi="ar-SA"/>
              </w:rPr>
              <w:t>Item</w:t>
            </w:r>
          </w:p>
        </w:tc>
        <w:tc>
          <w:tcPr>
            <w:tcW w:w="7055"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9"/>
                <w:szCs w:val="22"/>
                <w:lang w:val="en-US" w:eastAsia="en-US" w:bidi="ar-SA"/>
              </w:rPr>
              <w:t>Description</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compose.yaml</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Adds the valkey service: image valkey/valkey:8-alpine, started with --appendonly yes and --save 300 1, data in the valkey-data volume, a health check (valkey-cli ping), not published on the host. The xsheet service depends on it being healthy and is given MLW_VALKEY_URL, MLW_VALKEY_PASSWORD and MLW_VALKEY_PREFIX.</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compose.override.yaml (development)</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Publishes Valkey on 127.0.0.1 only (port 6380, or MLW_VALKEY_HOST_PORT), so records can be inspected with valkey-cli -p 6380.</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compose.prod.yaml (production)</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Gives valkey a restart policy, a read-only root file system, no-new-privileges and log rotation, and declares the valkey-data volume of the mlw-xsheet-prod project.</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Password</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Set MLW_VALKEY_PASSWORD in .env: Valkey then requires it (--requirepass), the health check uses it, and the app is given it. For a Valkey server elsewhere, or with TLS, set MLW_VALKEY_URL (for example valkeys://host:6379/0).</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requirements.txt</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Adds the valkey Python package.</w:t>
            </w:r>
          </w:p>
        </w:tc>
      </w:tr>
    </w:tbl>
    <w:p>
      <w:pPr>
        <w:pStyle w:val="Normal"/>
        <w:spacing w:before="0" w:after="40"/>
        <w:rPr/>
      </w:pPr>
      <w:r>
        <w:rPr/>
      </w:r>
    </w:p>
    <w:p>
      <w:pPr>
        <w:pStyle w:val="Heading2"/>
        <w:rPr/>
      </w:pPr>
      <w:bookmarkStart w:id="9013" w:name="__RefHeading___Toc9012_150"/>
      <w:r>
        <w:rPr/>
        <w:t>3.4 Configuration</w:t>
      </w:r>
      <w:bookmarkEnd w:id="9013"/>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7055"/>
      </w:tblGrid>
      <w:tr>
        <w:trPr>
          <w:tblHeader w:val="true"/>
        </w:trPr>
        <w:tc>
          <w:tcPr>
            <w:tcW w:w="2304"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9"/>
                <w:szCs w:val="22"/>
                <w:lang w:val="en-US" w:eastAsia="en-US" w:bidi="ar-SA"/>
              </w:rPr>
              <w:t>Variable</w:t>
            </w:r>
          </w:p>
        </w:tc>
        <w:tc>
          <w:tcPr>
            <w:tcW w:w="7055"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9"/>
                <w:szCs w:val="22"/>
                <w:lang w:val="en-US" w:eastAsia="en-US" w:bidi="ar-SA"/>
              </w:rPr>
              <w:t>Meaning</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MLW_VALKEY_URL</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The Valkey server as the app sees it; default valkey://valkey:6379/0 (set by compose.yaml). Empty turns Valkey off.</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MLW_VALKEY_PASSWORD</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The password Valkey requires; empty (the default) means none.</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MLW_VALKEY_PREFIX</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The prefix of every key; default mlw:xsheet. Change it to share one Valkey server between several installations.</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MLW_VALKEY_HOST_PORT</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Development only: the localhost port Valkey is published on; default 6380.</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.env.example</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Shows the Valkey settings, commented out, beside the time zone and Keycloak settings.</w:t>
            </w:r>
          </w:p>
        </w:tc>
      </w:tr>
    </w:tbl>
    <w:p>
      <w:pPr>
        <w:pStyle w:val="Normal"/>
        <w:spacing w:before="0" w:after="40"/>
        <w:rPr/>
      </w:pPr>
      <w:r>
        <w:rPr/>
      </w:r>
    </w:p>
    <w:p>
      <w:pPr>
        <w:pStyle w:val="Heading2"/>
        <w:rPr/>
      </w:pPr>
      <w:bookmarkStart w:id="9014" w:name="__RefHeading___Toc9013_150"/>
      <w:r>
        <w:rPr/>
        <w:t>3.5 Looking After the Data</w:t>
      </w:r>
      <w:bookmarkEnd w:id="9014"/>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7055"/>
      </w:tblGrid>
      <w:tr>
        <w:trPr>
          <w:tblHeader w:val="true"/>
        </w:trPr>
        <w:tc>
          <w:tcPr>
            <w:tcW w:w="2304"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9"/>
                <w:szCs w:val="22"/>
                <w:lang w:val="en-US" w:eastAsia="en-US" w:bidi="ar-SA"/>
              </w:rPr>
              <w:t>Task</w:t>
            </w:r>
          </w:p>
        </w:tc>
        <w:tc>
          <w:tcPr>
            <w:tcW w:w="7055"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9"/>
                <w:szCs w:val="22"/>
                <w:lang w:val="en-US" w:eastAsia="en-US" w:bidi="ar-SA"/>
              </w:rPr>
              <w:t>How</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See the records</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valkey-cli --scan --pattern 'mlw:xsheet:*' (in development, add -p 6380).</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See one user's settings</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HGETALL mlw:xsheet:user:&lt;user&gt;; their drafts: HKEYS mlw:xsheet:user:&lt;user&gt;:drafts.</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Reset a user</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Delete their three keys while the app is stopped (or restart the app afterwards, as it keeps a copy in memory).</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Back up</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Copy the valkey-data volume (the append-only file), or use valkey-cli --rdb. Without the volume, users start again from their browser's preferences and lose their drafts.</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Turn it off</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Set MLW_VALKEY_URL= in .env and recreate the xsheet container.</w:t>
            </w:r>
          </w:p>
        </w:tc>
      </w:tr>
    </w:tbl>
    <w:p>
      <w:pPr>
        <w:pStyle w:val="Normal"/>
        <w:spacing w:before="0" w:after="40"/>
        <w:rPr/>
      </w:pPr>
      <w:r>
        <w:rPr/>
      </w:r>
    </w:p>
    <w:p>
      <w:pPr>
        <w:pStyle w:val="Heading2"/>
        <w:rPr/>
      </w:pPr>
      <w:bookmarkStart w:id="9015" w:name="__RefHeading___Toc9014_150"/>
      <w:r>
        <w:rPr/>
        <w:t>3.6 Your Own File Storage</w:t>
      </w:r>
      <w:bookmarkEnd w:id="9015"/>
    </w:p>
    <w:p>
      <w:pPr>
        <w:pStyle w:val="Normal"/>
        <w:rPr/>
      </w:pPr>
      <w:r>
        <w:rPr/>
        <w:t>mlw-storage is a separate server (SFTPGo, with a gateway called mlw-proxy) that keeps each user's files. mlw-xsheet reaches it with the Keycloak login of the user, so the storage a person sees is decided by who they are, never by the app.</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7055"/>
      </w:tblGrid>
      <w:tr>
        <w:trPr>
          <w:tblHeader w:val="true"/>
        </w:trPr>
        <w:tc>
          <w:tcPr>
            <w:tcW w:w="2304"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9"/>
                <w:szCs w:val="22"/>
                <w:lang w:val="en-US" w:eastAsia="en-US" w:bidi="ar-SA"/>
              </w:rPr>
              <w:t>Feature</w:t>
            </w:r>
          </w:p>
        </w:tc>
        <w:tc>
          <w:tcPr>
            <w:tcW w:w="7055"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9"/>
                <w:szCs w:val="22"/>
                <w:lang w:val="en-US" w:eastAsia="en-US" w:bidi="ar-SA"/>
              </w:rPr>
              <w:t>Capability</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Open and Save As</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For Keycloak users, File &gt; Open and File &gt; Save As (and Save on a document that has no file yet) browse the user's own storage, and the dialogs remember the last folder. Save As can create a folder. A document opened from storage is saved back to it by Save; its sketch is saved beside it as .svg; it appears in Open Recent, drafts and the last document as storage:/folder/file.xml, in the user's own Valkey record. Export commands still write to the server's data folder.</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Profile</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Storage (the server and SFTP port), Storage folder (the user's private directory, or the shared folder chosen) and Storage access (read and write, or read-only), read when the user logs in, plus a Storage Location button.</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Storage Location</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File &gt; Storage Location (or the Profile button) lists the folders of the shared area and sets which one is the user's own, or returns the user to their private directory. This is stored by the gateway, per user.</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How it connects</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At login the app keeps the user's Keycloak tokens in memory only (never on disk or in Valkey) and asks the gateway (GET /mlw/v1/storage/root) for the user's root. For each open or save it connects over SFTP, with the user name set to the Keycloak user id and a fresh access token as the password, renewed from the refresh token. A file is saved by writing a temporary name and renaming it, so a partly written file is never seen. The SSH host key is remembered on first use, or pinned with MLW_STORAGE_HOST_KEY.</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Who can use it</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Keycloak users with the realm role mlw-user (MLW_STORAGE_REQUIRED_ROLE). A role named in MLW_STORAGE_READONLY_ROLE gives read-only access. The built-in account and anyone not logged in with Keycloak have no storage and keep using the data folder. In the app, the Viewer role cannot save and the Reviewer role only saves its reviews, as before.</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When it is unavailable</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If the gateway or SFTP server cannot be reached, or the user's Keycloak session is no longer known to the app, Open and Save As show an error and do not fall back to the data folder.</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Restarts</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The tokens are lost when the app server restarts, so the user is told to log out and in again; the document last worked on is reopened afterwards.</w:t>
            </w:r>
          </w:p>
        </w:tc>
      </w:tr>
    </w:tbl>
    <w:p>
      <w:pPr>
        <w:pStyle w:val="Normal"/>
        <w:spacing w:before="0" w:after="40"/>
        <w:rPr/>
      </w:pPr>
      <w:r>
        <w:rPr/>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7055"/>
      </w:tblGrid>
      <w:tr>
        <w:trPr>
          <w:tblHeader w:val="true"/>
        </w:trPr>
        <w:tc>
          <w:tcPr>
            <w:tcW w:w="2304"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9"/>
                <w:szCs w:val="22"/>
                <w:lang w:val="en-US" w:eastAsia="en-US" w:bidi="ar-SA"/>
              </w:rPr>
              <w:t>Variable</w:t>
            </w:r>
          </w:p>
        </w:tc>
        <w:tc>
          <w:tcPr>
            <w:tcW w:w="7055"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9"/>
                <w:szCs w:val="22"/>
                <w:lang w:val="en-US" w:eastAsia="en-US" w:bidi="ar-SA"/>
              </w:rPr>
              <w:t>Meaning</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MLW_STORAGE_URL</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The mlw-storage gateway, for example http://mlw-proxy:8000. Empty turns storage off.</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MLW_STORAGE_SFTP_HOST / _PORT</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The SFTP server; defaults to the host of the gateway URL and 2222.</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MLW_STORAGE_NAME</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The name shown in the app; default mlw-storage.</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MLW_STORAGE_REQUIRED_ROLE / _READONLY_ROLE</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The Keycloak realm roles that allow, or limit to reading, the storage; default mlw-user, and none.</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MLW_STORAGE_HOST_KEY</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The SSH host key fingerprint to require; otherwise the first one seen is remembered.</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MLW_STORAGE_TIMEOUT</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Seconds to wait for the storage; default 8.</w:t>
            </w:r>
          </w:p>
        </w:tc>
      </w:tr>
      <w:tr>
        <w:trPr>
          <w:cantSplit w:val="true"/>
        </w:trPr>
        <w:tc>
          <w:tcPr>
            <w:tcW w:w="2304" w:type="dxa"/>
            <w:tcBorders/>
          </w:tcPr>
          <w:p>
            <w:pPr>
              <w:pStyle w:val="Normal"/>
              <w:widowControl/>
              <w:suppressAutoHyphens w:val="true"/>
              <w:spacing w:before="0" w:after="0"/>
              <w:jc w:val="left"/>
              <w:rPr>
                <w:rFonts w:cs=""/>
                <w:kern w:val="0"/>
                <w:szCs w:val="22"/>
                <w:lang w:val="en-US" w:eastAsia="en-US" w:bidi="ar-SA"/>
              </w:rPr>
            </w:pPr>
            <w:r>
              <w:rPr>
                <w:rFonts w:cs=""/>
                <w:b/>
                <w:kern w:val="0"/>
                <w:sz w:val="19"/>
                <w:szCs w:val="22"/>
                <w:lang w:val="en-US" w:eastAsia="en-US" w:bidi="ar-SA"/>
              </w:rPr>
              <w:t>Per-user setting</w:t>
            </w:r>
          </w:p>
        </w:tc>
        <w:tc>
          <w:tcPr>
            <w:tcW w:w="7055" w:type="dxa"/>
            <w:tcBorders/>
          </w:tcPr>
          <w:p>
            <w:pPr>
              <w:pStyle w:val="Normal"/>
              <w:widowControl/>
              <w:suppressAutoHyphens w:val="true"/>
              <w:spacing w:before="0" w:after="0"/>
              <w:jc w:val="left"/>
              <w:rPr>
                <w:rFonts w:cs=""/>
                <w:kern w:val="0"/>
                <w:szCs w:val="22"/>
                <w:lang w:val="en-US" w:eastAsia="en-US" w:bidi="ar-SA"/>
              </w:rPr>
            </w:pPr>
            <w:r>
              <w:rPr>
                <w:rFonts w:cs=""/>
                <w:kern w:val="0"/>
                <w:sz w:val="19"/>
                <w:szCs w:val="22"/>
                <w:lang w:val="en-US" w:eastAsia="en-US" w:bidi="ar-SA"/>
              </w:rPr>
              <w:t>storage_dir, the folder the dialogs start in, is a field of the user's Valkey settings hash (section 3.2).</w:t>
            </w:r>
          </w:p>
        </w:tc>
      </w:tr>
    </w:tbl>
    <w:p>
      <w:pPr>
        <w:pStyle w:val="Normal"/>
        <w:spacing w:before="0" w:after="40"/>
        <w:rPr/>
      </w:pPr>
      <w:r>
        <w:rPr/>
      </w:r>
    </w:p>
    <w:p>
      <w:pPr>
        <w:pStyle w:val="Heading1"/>
        <w:rPr/>
      </w:pPr>
      <w:bookmarkStart w:id="9016" w:name="__RefHeading___Toc9015_150"/>
      <w:r>
        <w:t>4. Known Limitations</w:t>
      </w:r>
      <w:bookmarkEnd w:id="9016"/>
    </w:p>
    <w:p>
      <w:pPr>
        <w:pStyle w:val="Normal"/>
        <w:rPr/>
      </w:pPr>
      <w:r>
        <w:rPr/>
        <w:t>These were found during development and are not yet fixed.</w:t>
      </w:r>
    </w:p>
    <w:p>
      <w:pPr>
        <w:pStyle w:val="ListBullet"/>
        <w:numPr>
          <w:ilvl w:val="0"/>
          <w:numId w:val="1"/>
        </w:numPr>
        <w:spacing w:before="0" w:after="60"/>
        <w:contextualSpacing/>
        <w:rPr/>
      </w:pPr>
      <w:r>
        <w:rPr>
          <w:b/>
        </w:rPr>
        <w:t>One app server</w:t>
      </w:r>
      <w:r>
        <w:rPr/>
        <w:t>: each user's record is held in the app and written through to Valkey, so run a single app server against one Valkey. Two servers would overwrite each other's changes; there is no change notification between them.</w:t>
      </w:r>
    </w:p>
    <w:p>
      <w:pPr>
        <w:pStyle w:val="ListBullet"/>
        <w:numPr>
          <w:ilvl w:val="0"/>
          <w:numId w:val="1"/>
        </w:numPr>
        <w:spacing w:before="0" w:after="60"/>
        <w:contextualSpacing/>
        <w:rPr/>
      </w:pPr>
      <w:r>
        <w:rPr>
          <w:b/>
        </w:rPr>
        <w:t>Edits made directly in Valkey</w:t>
      </w:r>
      <w:r>
        <w:rPr/>
        <w:t>: the app does not notice them while it runs, and the next change it makes writes its own copy back. Restart the app after changing Valkey by hand.</w:t>
      </w:r>
    </w:p>
    <w:p>
      <w:pPr>
        <w:pStyle w:val="ListBullet"/>
        <w:numPr>
          <w:ilvl w:val="0"/>
          <w:numId w:val="1"/>
        </w:numPr>
        <w:spacing w:before="0" w:after="60"/>
        <w:contextualSpacing/>
        <w:rPr/>
      </w:pPr>
      <w:r>
        <w:rPr>
          <w:b/>
        </w:rPr>
        <w:t>Old drafts</w:t>
      </w:r>
      <w:r>
        <w:rPr/>
        <w:t>: drafts held only in the 1.5.0 per-browser storage are not imported into Valkey.</w:t>
      </w:r>
    </w:p>
    <w:p>
      <w:pPr>
        <w:pStyle w:val="ListBullet"/>
        <w:numPr>
          <w:ilvl w:val="0"/>
          <w:numId w:val="1"/>
        </w:numPr>
        <w:spacing w:before="0" w:after="60"/>
        <w:contextualSpacing/>
        <w:rPr/>
      </w:pPr>
      <w:r>
        <w:rPr>
          <w:b/>
        </w:rPr>
        <w:t>No expiry</w:t>
      </w:r>
      <w:r>
        <w:rPr/>
        <w:t>: records are kept for ever. Delete the keys of users who have left.</w:t>
      </w:r>
    </w:p>
    <w:p>
      <w:pPr>
        <w:pStyle w:val="ListBullet"/>
        <w:numPr>
          <w:ilvl w:val="0"/>
          <w:numId w:val="1"/>
        </w:numPr>
        <w:spacing w:before="0" w:after="60"/>
        <w:contextualSpacing/>
        <w:rPr/>
      </w:pPr>
      <w:r>
        <w:rPr>
          <w:b/>
        </w:rPr>
        <w:t>Network trust</w:t>
      </w:r>
      <w:r>
        <w:rPr/>
        <w:t>: by default Valkey has no password and is reachable only on the Compose network (and, in development, on localhost). Set MLW_VALKEY_PASSWORD, and keep Valkey off public networks, if others share that network.</w:t>
      </w:r>
    </w:p>
    <w:p>
      <w:pPr>
        <w:pStyle w:val="ListBullet"/>
        <w:numPr>
          <w:ilvl w:val="0"/>
          <w:numId w:val="1"/>
        </w:numPr>
        <w:spacing w:before="0" w:after="60"/>
        <w:contextualSpacing/>
        <w:rPr/>
      </w:pPr>
      <w:r>
        <w:rPr>
          <w:b/>
        </w:rPr>
        <w:t>Drafts hold full text</w:t>
      </w:r>
      <w:r>
        <w:rPr/>
        <w:t>: a draft stores the document's whole text, and the app keeps every user's record in memory, so very large documents with many users use more memory than before.</w:t>
      </w:r>
    </w:p>
    <w:p>
      <w:pPr>
        <w:pStyle w:val="ListBullet"/>
        <w:numPr>
          <w:ilvl w:val="0"/>
          <w:numId w:val="1"/>
        </w:numPr>
        <w:spacing w:before="0" w:after="60"/>
        <w:contextualSpacing/>
        <w:rPr/>
      </w:pPr>
      <w:r>
        <w:rPr>
          <w:b/>
        </w:rPr>
        <w:t>Pop-up logs</w:t>
      </w:r>
      <w:r>
        <w:rPr/>
        <w:t>: the log files are still per browser, in NICEGUI_STORAGE_PATH/logs, not per user.</w:t>
      </w:r>
    </w:p>
    <w:p>
      <w:pPr>
        <w:pStyle w:val="ListBullet"/>
        <w:numPr>
          <w:ilvl w:val="0"/>
          <w:numId w:val="1"/>
        </w:numPr>
        <w:spacing w:before="0" w:after="60"/>
        <w:contextualSpacing/>
        <w:rPr/>
      </w:pPr>
      <w:r>
        <w:rPr>
          <w:b/>
        </w:rPr>
        <w:t>Storage sessions</w:t>
      </w:r>
      <w:r>
        <w:rPr/>
        <w:t>: the tokens are held in memory, so an app restart (including a development auto-reload) means logging in again before the storage can be used.</w:t>
      </w:r>
    </w:p>
    <w:p>
      <w:pPr>
        <w:pStyle w:val="ListBullet"/>
        <w:numPr>
          <w:ilvl w:val="0"/>
          <w:numId w:val="1"/>
        </w:numPr>
        <w:spacing w:before="0" w:after="60"/>
        <w:contextualSpacing/>
        <w:rPr/>
      </w:pPr>
      <w:r>
        <w:rPr>
          <w:b/>
        </w:rPr>
        <w:t>Storage for Keycloak users only</w:t>
      </w:r>
      <w:r>
        <w:rPr/>
        <w:t>: the built-in account has no storage; exports and reports still go to the server's data folder.</w:t>
      </w:r>
    </w:p>
    <w:p>
      <w:pPr>
        <w:pStyle w:val="ListBullet"/>
        <w:numPr>
          <w:ilvl w:val="0"/>
          <w:numId w:val="1"/>
        </w:numPr>
        <w:spacing w:before="0" w:after="60"/>
        <w:contextualSpacing/>
        <w:rPr/>
      </w:pPr>
      <w:r>
        <w:rPr>
          <w:b/>
        </w:rPr>
        <w:t>New dependency</w:t>
      </w:r>
      <w:r>
        <w:rPr/>
        <w:t>: paramiko is licensed under the LGPL-2.1; it is used unmodified (see doc/licenses.txt).</w:t>
      </w:r>
    </w:p>
    <w:p>
      <w:pPr>
        <w:pStyle w:val="ListBullet"/>
        <w:numPr>
          <w:ilvl w:val="0"/>
          <w:numId w:val="1"/>
        </w:numPr>
        <w:spacing w:before="0" w:after="60"/>
        <w:contextualSpacing/>
        <w:rPr/>
      </w:pPr>
      <w:r>
        <w:rPr>
          <w:b/>
        </w:rPr>
        <w:t>Keycloak limits</w:t>
      </w:r>
      <w:r>
        <w:rPr/>
        <w:t>: as in 1.5.0 (direct grant, a built-in account that works while Keycloak is down, roles read at login).</w:t>
      </w:r>
    </w:p>
    <w:p>
      <w:pPr>
        <w:pStyle w:val="Heading1"/>
        <w:spacing w:before="0" w:after="120"/>
        <w:rPr/>
      </w:pPr>
      <w:bookmarkStart w:id="9017" w:name="__RefHeading___Toc9990_150"/>
      <w:r>
        <w:rPr/>
        <w:t>Copyright Notice</w:t>
      </w:r>
      <w:bookmarkEnd w:id="9017"/>
    </w:p>
    <w:p>
      <w:pPr>
        <w:pStyle w:val="Normal"/>
        <w:rPr/>
      </w:pPr>
      <w:r>
        <w:rPr/>
        <w:t xml:space="preserve">mlw-xsheet is released under the MIT License. The same notice appears at the top of every Python source file and XML example, between </w:t>
      </w:r>
      <w:r>
        <w:rPr>
          <w:rFonts w:ascii="Consolas" w:hAnsi="Consolas"/>
          <w:sz w:val="19"/>
        </w:rPr>
        <w:t>COPYRIGHT_BEGIN</w:t>
      </w:r>
      <w:r>
        <w:rPr/>
        <w:t xml:space="preserve"> and </w:t>
      </w:r>
      <w:r>
        <w:rPr>
          <w:rFonts w:ascii="Consolas" w:hAnsi="Consolas"/>
          <w:sz w:val="19"/>
        </w:rPr>
        <w:t>COPYRIGHT_END</w:t>
      </w:r>
      <w:r>
        <w:rPr/>
        <w:t xml:space="preserve"> markers.</w:t>
      </w:r>
    </w:p>
    <w:p>
      <w:pPr>
        <w:pStyle w:val="Normal"/>
        <w:pBdr>
          <w:top w:val="single" w:sz="4" w:space="4" w:color="C8CED6"/>
          <w:left w:val="single" w:sz="4" w:space="4" w:color="C8CED6"/>
          <w:bottom w:val="single" w:sz="4" w:space="4" w:color="C8CED6"/>
          <w:right w:val="single" w:sz="4" w:space="4" w:color="C8CED6"/>
        </w:pBdr>
        <w:shd w:val="clear" w:color="auto" w:fill="F4F6F8"/>
        <w:spacing w:lineRule="auto" w:line="240" w:before="0" w:after="160"/>
        <w:rPr/>
      </w:pPr>
      <w:r>
        <w:rPr>
          <w:rFonts w:ascii="Consolas" w:hAnsi="Consolas"/>
          <w:sz w:val="17"/>
        </w:rPr>
        <w:t>MIT License</w:t>
        <w:br/>
        <w:br/>
        <w:t>Copyright (c) 2026 Wizzer Works</w:t>
        <w:br/>
        <w:br/>
        <w:t>Permission is hereby granted, free of charge, to any person obtaining a copy</w:t>
        <w:br/>
        <w:t>of this software and associated documentation files (the "Software"), to deal</w:t>
        <w:br/>
        <w:t>in the Software without restriction, including without limitation the rights</w:t>
        <w:br/>
        <w:t>to use, copy, modify, merge, publish, distribute, sublicense, and/or sell</w:t>
        <w:br/>
        <w:t>copies of the Software, and to permit persons to whom the Software is</w:t>
        <w:br/>
        <w:t>furnished to do so, subject to the following conditions:</w:t>
        <w:br/>
        <w:br/>
        <w:t>The above copyright notice and this permission notice shall be included in all</w:t>
        <w:br/>
        <w:t>copies or substantial portions of the Software.</w:t>
        <w:br/>
        <w:br/>
        <w:t>THE SOFTWARE IS PROVIDED "AS IS", WITHOUT WARRANTY OF ANY KIND, EXPRESS OR</w:t>
        <w:br/>
        <w:t>IMPLIED, INCLUDING BUT NOT LIMITED TO THE WARRANTIES OF MERCHANTABILITY,</w:t>
        <w:br/>
        <w:t>FITNESS FOR A PARTICULAR PURPOSE AND NONINFRINGEMENT. IN NO EVENT SHALL THE</w:t>
        <w:br/>
        <w:t>AUTHORS OR COPYRIGHT HOLDERS BE LIABLE FOR ANY CLAIM, DAMAGES OR OTHER</w:t>
        <w:br/>
        <w:t>LIABILITY, WHETHER IN AN ACTION OF CONTRACT, TORT OR OTHERWISE, ARISING FROM,</w:t>
        <w:br/>
        <w:t>OUT OF OR IN CONNECTION WITH THE SOFTWARE OR THE USE OR OTHER DEALINGS IN THE</w:t>
        <w:br/>
        <w:t>SOFTWARE.</w:t>
      </w:r>
    </w:p>
    <w:p>
      <w:pPr>
        <w:pStyle w:val="Heading2"/>
        <w:rPr/>
      </w:pPr>
      <w:bookmarkStart w:id="40" w:name="__RefHeading___Toc8483_2048410961"/>
      <w:bookmarkEnd w:id="40"/>
      <w:r>
        <w:rPr/>
        <w:t>Licenses</w:t>
      </w:r>
    </w:p>
    <w:p>
      <w:pPr>
        <w:pStyle w:val="Normal"/>
        <w:rPr/>
      </w:pPr>
      <w:r>
        <w:rPr/>
        <w:t xml:space="preserve">mlw-xsheet builds on open-source software. The table groups every third-party component it uses by license: 54 Python packages installed in the Docker image and 8 browser libraries bundled with NiceGUI. The complete inventory, with versions, copyright holders and source links, is in </w:t>
      </w:r>
      <w:r>
        <w:rPr>
          <w:rFonts w:ascii="Consolas" w:hAnsi="Consolas"/>
          <w:sz w:val="19"/>
        </w:rPr>
        <w:t>doc/licenses.txt</w:t>
      </w:r>
      <w:r>
        <w:rPr/>
        <w:t>, which also covers fonts, container images, libraries NiceGUI ships but mlw-xsheet does not use, and the Apache NOTICE files.</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18"/>
        <w:gridCol w:w="792"/>
        <w:gridCol w:w="6050"/>
      </w:tblGrid>
      <w:tr>
        <w:trPr>
          <w:tblHeader w:val="true"/>
        </w:trPr>
        <w:tc>
          <w:tcPr>
            <w:tcW w:w="2518"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7"/>
                <w:szCs w:val="22"/>
                <w:lang w:val="en-US" w:eastAsia="en-US" w:bidi="ar-SA"/>
              </w:rPr>
              <w:t>License</w:t>
            </w:r>
          </w:p>
        </w:tc>
        <w:tc>
          <w:tcPr>
            <w:tcW w:w="792"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7"/>
                <w:szCs w:val="22"/>
                <w:lang w:val="en-US" w:eastAsia="en-US" w:bidi="ar-SA"/>
              </w:rPr>
              <w:t>Count</w:t>
            </w:r>
          </w:p>
        </w:tc>
        <w:tc>
          <w:tcPr>
            <w:tcW w:w="6050"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7"/>
                <w:szCs w:val="22"/>
                <w:lang w:val="en-US" w:eastAsia="en-US" w:bidi="ar-SA"/>
              </w:rPr>
              <w:t>Components</w:t>
            </w:r>
          </w:p>
        </w:tc>
      </w:tr>
      <w:tr>
        <w:trPr>
          <w:cantSplit w:val="true"/>
        </w:trPr>
        <w:tc>
          <w:tcPr>
            <w:tcW w:w="2518"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MIT</w:t>
            </w:r>
          </w:p>
        </w:tc>
        <w:tc>
          <w:tcPr>
            <w:tcW w:w="79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29</w:t>
            </w:r>
          </w:p>
        </w:tc>
        <w:tc>
          <w:tcPr>
            <w:tcW w:w="6050"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@uiw/codemirror-themes-all, AG Grid Community, annotated-doc, annotated-types, anyio, attrs, CodeMirror 6 (codemirror, @codemirror/*, @lezer/*), elementpath, fastapi, fonttools, h11, httptools, ifaddr, markdown2, nicegui, pydantic, pydantic_core, python-engineio, python-socketio, PyYAML, Quasar, simple-websocket, Socket.IO client, Tailwind CSS, typing-inspection, Vue, watchfiles, wsproto, xmlschema</w:t>
            </w:r>
          </w:p>
        </w:tc>
      </w:tr>
      <w:tr>
        <w:trPr>
          <w:cantSplit w:val="true"/>
        </w:trPr>
        <w:tc>
          <w:tcPr>
            <w:tcW w:w="2518"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BSD-3-Clause</w:t>
            </w:r>
          </w:p>
        </w:tc>
        <w:tc>
          <w:tcPr>
            <w:tcW w:w="79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8</w:t>
            </w:r>
          </w:p>
        </w:tc>
        <w:tc>
          <w:tcPr>
            <w:tcW w:w="6050"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click, httpcore, idna, MarkupSafe, python-dotenv, starlette, uvicorn, websockets</w:t>
            </w:r>
          </w:p>
        </w:tc>
      </w:tr>
      <w:tr>
        <w:trPr>
          <w:cantSplit w:val="true"/>
        </w:trPr>
        <w:tc>
          <w:tcPr>
            <w:tcW w:w="2518"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Apache-2.0</w:t>
            </w:r>
          </w:p>
        </w:tc>
        <w:tc>
          <w:tcPr>
            <w:tcW w:w="79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7</w:t>
            </w:r>
          </w:p>
        </w:tc>
        <w:tc>
          <w:tcPr>
            <w:tcW w:w="6050"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aiofiles, aiosignal, frozenlist, multidict, propcache, python-multipart, yarl</w:t>
            </w:r>
          </w:p>
        </w:tc>
      </w:tr>
      <w:tr>
        <w:trPr>
          <w:cantSplit w:val="true"/>
        </w:trPr>
        <w:tc>
          <w:tcPr>
            <w:tcW w:w="2518"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BSD (variant per package)</w:t>
            </w:r>
          </w:p>
        </w:tc>
        <w:tc>
          <w:tcPr>
            <w:tcW w:w="79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5</w:t>
            </w:r>
          </w:p>
        </w:tc>
        <w:tc>
          <w:tcPr>
            <w:tcW w:w="6050"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httpx, itsdangerous, Jinja2, tinycss2, webencodings</w:t>
            </w:r>
          </w:p>
        </w:tc>
      </w:tr>
      <w:tr>
        <w:trPr>
          <w:cantSplit w:val="true"/>
        </w:trPr>
        <w:tc>
          <w:tcPr>
            <w:tcW w:w="2518"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PSF-2.0</w:t>
            </w:r>
          </w:p>
        </w:tc>
        <w:tc>
          <w:tcPr>
            <w:tcW w:w="79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3</w:t>
            </w:r>
          </w:p>
        </w:tc>
        <w:tc>
          <w:tcPr>
            <w:tcW w:w="6050"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aiohappyeyeballs, defusedxml, typing_extensions</w:t>
            </w:r>
          </w:p>
        </w:tc>
      </w:tr>
      <w:tr>
        <w:trPr>
          <w:cantSplit w:val="true"/>
        </w:trPr>
        <w:tc>
          <w:tcPr>
            <w:tcW w:w="2518"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MPL-2.0</w:t>
            </w:r>
          </w:p>
        </w:tc>
        <w:tc>
          <w:tcPr>
            <w:tcW w:w="79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2</w:t>
            </w:r>
          </w:p>
        </w:tc>
        <w:tc>
          <w:tcPr>
            <w:tcW w:w="6050"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bidict, certifi</w:t>
            </w:r>
          </w:p>
        </w:tc>
      </w:tr>
      <w:tr>
        <w:trPr>
          <w:cantSplit w:val="true"/>
        </w:trPr>
        <w:tc>
          <w:tcPr>
            <w:tcW w:w="2518"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Apache-2.0 AND MIT</w:t>
            </w:r>
          </w:p>
        </w:tc>
        <w:tc>
          <w:tcPr>
            <w:tcW w:w="79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1</w:t>
            </w:r>
          </w:p>
        </w:tc>
        <w:tc>
          <w:tcPr>
            <w:tcW w:w="6050"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aiohttp</w:t>
            </w:r>
          </w:p>
        </w:tc>
      </w:tr>
      <w:tr>
        <w:trPr>
          <w:cantSplit w:val="true"/>
        </w:trPr>
        <w:tc>
          <w:tcPr>
            <w:tcW w:w="2518"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Apache-2.0 OR MIT</w:t>
            </w:r>
          </w:p>
        </w:tc>
        <w:tc>
          <w:tcPr>
            <w:tcW w:w="79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1</w:t>
            </w:r>
          </w:p>
        </w:tc>
        <w:tc>
          <w:tcPr>
            <w:tcW w:w="6050"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uvloop</w:t>
            </w:r>
          </w:p>
        </w:tc>
      </w:tr>
      <w:tr>
        <w:trPr>
          <w:cantSplit w:val="true"/>
        </w:trPr>
        <w:tc>
          <w:tcPr>
            <w:tcW w:w="2518"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Apache-2.0 OR MPL-2.0</w:t>
            </w:r>
          </w:p>
        </w:tc>
        <w:tc>
          <w:tcPr>
            <w:tcW w:w="79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1</w:t>
            </w:r>
          </w:p>
        </w:tc>
        <w:tc>
          <w:tcPr>
            <w:tcW w:w="6050"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DOMPurify</w:t>
            </w:r>
          </w:p>
        </w:tc>
      </w:tr>
      <w:tr>
        <w:trPr>
          <w:cantSplit w:val="true"/>
        </w:trPr>
        <w:tc>
          <w:tcPr>
            <w:tcW w:w="2518"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BSD-2-Clause</w:t>
            </w:r>
          </w:p>
        </w:tc>
        <w:tc>
          <w:tcPr>
            <w:tcW w:w="79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1</w:t>
            </w:r>
          </w:p>
        </w:tc>
        <w:tc>
          <w:tcPr>
            <w:tcW w:w="6050"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Pygments</w:t>
            </w:r>
          </w:p>
        </w:tc>
      </w:tr>
      <w:tr>
        <w:trPr>
          <w:cantSplit w:val="true"/>
        </w:trPr>
        <w:tc>
          <w:tcPr>
            <w:tcW w:w="2518"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LGPL-3.0-only</w:t>
            </w:r>
          </w:p>
        </w:tc>
        <w:tc>
          <w:tcPr>
            <w:tcW w:w="79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1</w:t>
            </w:r>
          </w:p>
        </w:tc>
        <w:tc>
          <w:tcPr>
            <w:tcW w:w="6050"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fpdf2</w:t>
            </w:r>
          </w:p>
        </w:tc>
      </w:tr>
      <w:tr>
        <w:trPr>
          <w:cantSplit w:val="true"/>
        </w:trPr>
        <w:tc>
          <w:tcPr>
            <w:tcW w:w="2518"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MIT-CMU</w:t>
            </w:r>
          </w:p>
        </w:tc>
        <w:tc>
          <w:tcPr>
            <w:tcW w:w="79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1</w:t>
            </w:r>
          </w:p>
        </w:tc>
        <w:tc>
          <w:tcPr>
            <w:tcW w:w="6050"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pillow</w:t>
            </w:r>
          </w:p>
        </w:tc>
      </w:tr>
      <w:tr>
        <w:trPr>
          <w:cantSplit w:val="true"/>
        </w:trPr>
        <w:tc>
          <w:tcPr>
            <w:tcW w:w="2518"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MPL-2.0 AND (Apache-2.0 OR MIT)</w:t>
            </w:r>
          </w:p>
        </w:tc>
        <w:tc>
          <w:tcPr>
            <w:tcW w:w="79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1</w:t>
            </w:r>
          </w:p>
        </w:tc>
        <w:tc>
          <w:tcPr>
            <w:tcW w:w="6050"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orjson</w:t>
            </w:r>
          </w:p>
        </w:tc>
      </w:tr>
      <w:tr>
        <w:trPr>
          <w:cantSplit w:val="true"/>
        </w:trPr>
        <w:tc>
          <w:tcPr>
            <w:tcW w:w="2518"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Public Domain / BSD-2-Clause / GPL (parts)</w:t>
            </w:r>
          </w:p>
        </w:tc>
        <w:tc>
          <w:tcPr>
            <w:tcW w:w="79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1</w:t>
            </w:r>
          </w:p>
        </w:tc>
        <w:tc>
          <w:tcPr>
            <w:tcW w:w="6050"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docutils</w:t>
            </w:r>
          </w:p>
        </w:tc>
      </w:tr>
    </w:tbl>
    <w:p>
      <w:pPr>
        <w:pStyle w:val="Normal"/>
        <w:spacing w:before="0" w:after="40"/>
        <w:rPr/>
      </w:pPr>
      <w:r>
        <w:rPr/>
      </w:r>
    </w:p>
    <w:p>
      <w:pPr>
        <w:pStyle w:val="Heading3"/>
        <w:rPr/>
      </w:pPr>
      <w:r>
        <w:rPr/>
        <w:t>Key components</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80"/>
        <w:gridCol w:w="1872"/>
        <w:gridCol w:w="4608"/>
      </w:tblGrid>
      <w:tr>
        <w:trPr>
          <w:tblHeader w:val="true"/>
        </w:trPr>
        <w:tc>
          <w:tcPr>
            <w:tcW w:w="2880"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7"/>
                <w:szCs w:val="22"/>
                <w:lang w:val="en-US" w:eastAsia="en-US" w:bidi="ar-SA"/>
              </w:rPr>
              <w:t>Component</w:t>
            </w:r>
          </w:p>
        </w:tc>
        <w:tc>
          <w:tcPr>
            <w:tcW w:w="1872"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7"/>
                <w:szCs w:val="22"/>
                <w:lang w:val="en-US" w:eastAsia="en-US" w:bidi="ar-SA"/>
              </w:rPr>
              <w:t>License</w:t>
            </w:r>
          </w:p>
        </w:tc>
        <w:tc>
          <w:tcPr>
            <w:tcW w:w="4608" w:type="dxa"/>
            <w:tcBorders/>
            <w:shd w:color="auto" w:fill="5898D4" w:val="clear"/>
          </w:tcPr>
          <w:p>
            <w:pPr>
              <w:pStyle w:val="Normal"/>
              <w:widowControl/>
              <w:suppressAutoHyphens w:val="true"/>
              <w:spacing w:before="0" w:after="120"/>
              <w:jc w:val="left"/>
              <w:rPr>
                <w:rFonts w:cs=""/>
                <w:kern w:val="0"/>
                <w:szCs w:val="22"/>
                <w:lang w:val="en-US" w:eastAsia="en-US" w:bidi="ar-SA"/>
              </w:rPr>
            </w:pPr>
            <w:r>
              <w:rPr>
                <w:rFonts w:cs=""/>
                <w:b/>
                <w:color w:val="FFFFFF"/>
                <w:kern w:val="0"/>
                <w:sz w:val="17"/>
                <w:szCs w:val="22"/>
                <w:lang w:val="en-US" w:eastAsia="en-US" w:bidi="ar-SA"/>
              </w:rPr>
              <w:t>Copyright</w:t>
            </w:r>
          </w:p>
        </w:tc>
      </w:tr>
      <w:tr>
        <w:trPr>
          <w:cantSplit w:val="true"/>
        </w:trPr>
        <w:tc>
          <w:tcPr>
            <w:tcW w:w="2880" w:type="dxa"/>
            <w:tcBorders/>
          </w:tcPr>
          <w:p>
            <w:pPr>
              <w:pStyle w:val="Normal"/>
              <w:widowControl/>
              <w:suppressAutoHyphens w:val="true"/>
              <w:spacing w:before="0" w:after="0"/>
              <w:jc w:val="left"/>
              <w:rPr>
                <w:rFonts w:cs=""/>
                <w:kern w:val="0"/>
                <w:szCs w:val="22"/>
                <w:lang w:val="en-US" w:eastAsia="en-US" w:bidi="ar-SA"/>
              </w:rPr>
            </w:pPr>
            <w:r>
              <w:rPr>
                <w:rFonts w:cs=""/>
                <w:b/>
                <w:kern w:val="0"/>
                <w:sz w:val="17"/>
                <w:szCs w:val="22"/>
                <w:lang w:val="en-US" w:eastAsia="en-US" w:bidi="ar-SA"/>
              </w:rPr>
              <w:t>nicegui</w:t>
            </w:r>
            <w:r>
              <w:rPr>
                <w:rFonts w:cs=""/>
                <w:kern w:val="0"/>
                <w:sz w:val="17"/>
                <w:szCs w:val="22"/>
                <w:lang w:val="en-US" w:eastAsia="en-US" w:bidi="ar-SA"/>
              </w:rPr>
              <w:t xml:space="preserve"> 3.17.1</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MIT</w:t>
            </w:r>
          </w:p>
        </w:tc>
        <w:tc>
          <w:tcPr>
            <w:tcW w:w="4608"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Copyright (c) 2021 Zauberzeug GmbH</w:t>
            </w:r>
          </w:p>
        </w:tc>
      </w:tr>
      <w:tr>
        <w:trPr>
          <w:cantSplit w:val="true"/>
        </w:trPr>
        <w:tc>
          <w:tcPr>
            <w:tcW w:w="2880" w:type="dxa"/>
            <w:tcBorders/>
          </w:tcPr>
          <w:p>
            <w:pPr>
              <w:pStyle w:val="Normal"/>
              <w:widowControl/>
              <w:suppressAutoHyphens w:val="true"/>
              <w:spacing w:before="0" w:after="0"/>
              <w:jc w:val="left"/>
              <w:rPr>
                <w:rFonts w:cs=""/>
                <w:kern w:val="0"/>
                <w:szCs w:val="22"/>
                <w:lang w:val="en-US" w:eastAsia="en-US" w:bidi="ar-SA"/>
              </w:rPr>
            </w:pPr>
            <w:r>
              <w:rPr>
                <w:rFonts w:cs=""/>
                <w:b/>
                <w:kern w:val="0"/>
                <w:sz w:val="17"/>
                <w:szCs w:val="22"/>
                <w:lang w:val="en-US" w:eastAsia="en-US" w:bidi="ar-SA"/>
              </w:rPr>
              <w:t>uvicorn</w:t>
            </w:r>
            <w:r>
              <w:rPr>
                <w:rFonts w:cs=""/>
                <w:kern w:val="0"/>
                <w:sz w:val="17"/>
                <w:szCs w:val="22"/>
                <w:lang w:val="en-US" w:eastAsia="en-US" w:bidi="ar-SA"/>
              </w:rPr>
              <w:t xml:space="preserve"> 0.53.0</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BSD-3-Clause</w:t>
            </w:r>
          </w:p>
        </w:tc>
        <w:tc>
          <w:tcPr>
            <w:tcW w:w="4608"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Copyright © 2017-present, Encode OSS Ltd.</w:t>
            </w:r>
          </w:p>
        </w:tc>
      </w:tr>
      <w:tr>
        <w:trPr>
          <w:cantSplit w:val="true"/>
        </w:trPr>
        <w:tc>
          <w:tcPr>
            <w:tcW w:w="2880" w:type="dxa"/>
            <w:tcBorders/>
          </w:tcPr>
          <w:p>
            <w:pPr>
              <w:pStyle w:val="Normal"/>
              <w:widowControl/>
              <w:suppressAutoHyphens w:val="true"/>
              <w:spacing w:before="0" w:after="0"/>
              <w:jc w:val="left"/>
              <w:rPr>
                <w:rFonts w:cs=""/>
                <w:kern w:val="0"/>
                <w:szCs w:val="22"/>
                <w:lang w:val="en-US" w:eastAsia="en-US" w:bidi="ar-SA"/>
              </w:rPr>
            </w:pPr>
            <w:r>
              <w:rPr>
                <w:rFonts w:cs=""/>
                <w:b/>
                <w:kern w:val="0"/>
                <w:sz w:val="17"/>
                <w:szCs w:val="22"/>
                <w:lang w:val="en-US" w:eastAsia="en-US" w:bidi="ar-SA"/>
              </w:rPr>
              <w:t>xmlschema</w:t>
            </w:r>
            <w:r>
              <w:rPr>
                <w:rFonts w:cs=""/>
                <w:kern w:val="0"/>
                <w:sz w:val="17"/>
                <w:szCs w:val="22"/>
                <w:lang w:val="en-US" w:eastAsia="en-US" w:bidi="ar-SA"/>
              </w:rPr>
              <w:t xml:space="preserve"> 4.3.2</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MIT</w:t>
            </w:r>
          </w:p>
        </w:tc>
        <w:tc>
          <w:tcPr>
            <w:tcW w:w="4608"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Copyright (c), 2016-2026, SISSA (Scuola Internazionale Superiore di Studi Avanzati)</w:t>
            </w:r>
          </w:p>
        </w:tc>
      </w:tr>
      <w:tr>
        <w:trPr>
          <w:cantSplit w:val="true"/>
        </w:trPr>
        <w:tc>
          <w:tcPr>
            <w:tcW w:w="2880" w:type="dxa"/>
            <w:tcBorders/>
          </w:tcPr>
          <w:p>
            <w:pPr>
              <w:pStyle w:val="Normal"/>
              <w:widowControl/>
              <w:suppressAutoHyphens w:val="true"/>
              <w:spacing w:before="0" w:after="0"/>
              <w:jc w:val="left"/>
              <w:rPr>
                <w:rFonts w:cs=""/>
                <w:kern w:val="0"/>
                <w:szCs w:val="22"/>
                <w:lang w:val="en-US" w:eastAsia="en-US" w:bidi="ar-SA"/>
              </w:rPr>
            </w:pPr>
            <w:r>
              <w:rPr>
                <w:rFonts w:cs=""/>
                <w:b/>
                <w:kern w:val="0"/>
                <w:sz w:val="17"/>
                <w:szCs w:val="22"/>
                <w:lang w:val="en-US" w:eastAsia="en-US" w:bidi="ar-SA"/>
              </w:rPr>
              <w:t>fpdf2</w:t>
            </w:r>
            <w:r>
              <w:rPr>
                <w:rFonts w:cs=""/>
                <w:kern w:val="0"/>
                <w:sz w:val="17"/>
                <w:szCs w:val="22"/>
                <w:lang w:val="en-US" w:eastAsia="en-US" w:bidi="ar-SA"/>
              </w:rPr>
              <w:t xml:space="preserve"> 2.8.8</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LGPL-3.0-only</w:t>
            </w:r>
          </w:p>
        </w:tc>
        <w:tc>
          <w:tcPr>
            <w:tcW w:w="4608"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Olivier Plathey (FPDF) and the fpdf2 contributors</w:t>
            </w:r>
          </w:p>
        </w:tc>
      </w:tr>
      <w:tr>
        <w:trPr>
          <w:cantSplit w:val="true"/>
        </w:trPr>
        <w:tc>
          <w:tcPr>
            <w:tcW w:w="2880" w:type="dxa"/>
            <w:tcBorders/>
          </w:tcPr>
          <w:p>
            <w:pPr>
              <w:pStyle w:val="Normal"/>
              <w:widowControl/>
              <w:suppressAutoHyphens w:val="true"/>
              <w:spacing w:before="0" w:after="0"/>
              <w:jc w:val="left"/>
              <w:rPr>
                <w:rFonts w:cs=""/>
                <w:kern w:val="0"/>
                <w:szCs w:val="22"/>
                <w:lang w:val="en-US" w:eastAsia="en-US" w:bidi="ar-SA"/>
              </w:rPr>
            </w:pPr>
            <w:r>
              <w:rPr>
                <w:rFonts w:cs=""/>
                <w:b/>
                <w:kern w:val="0"/>
                <w:sz w:val="17"/>
                <w:szCs w:val="22"/>
                <w:lang w:val="en-US" w:eastAsia="en-US" w:bidi="ar-SA"/>
              </w:rPr>
              <w:t>Vue</w:t>
            </w:r>
            <w:r>
              <w:rPr>
                <w:rFonts w:cs=""/>
                <w:kern w:val="0"/>
                <w:sz w:val="17"/>
                <w:szCs w:val="22"/>
                <w:lang w:val="en-US" w:eastAsia="en-US" w:bidi="ar-SA"/>
              </w:rPr>
              <w:t xml:space="preserve"> 3.5.22</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MIT</w:t>
            </w:r>
          </w:p>
        </w:tc>
        <w:tc>
          <w:tcPr>
            <w:tcW w:w="4608"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Copyright (c) 2018-present, Yuxi (Evan) You and Vue contributors</w:t>
            </w:r>
          </w:p>
        </w:tc>
      </w:tr>
      <w:tr>
        <w:trPr>
          <w:cantSplit w:val="true"/>
        </w:trPr>
        <w:tc>
          <w:tcPr>
            <w:tcW w:w="2880" w:type="dxa"/>
            <w:tcBorders/>
          </w:tcPr>
          <w:p>
            <w:pPr>
              <w:pStyle w:val="Normal"/>
              <w:widowControl/>
              <w:suppressAutoHyphens w:val="true"/>
              <w:spacing w:before="0" w:after="0"/>
              <w:jc w:val="left"/>
              <w:rPr>
                <w:rFonts w:cs=""/>
                <w:kern w:val="0"/>
                <w:szCs w:val="22"/>
                <w:lang w:val="en-US" w:eastAsia="en-US" w:bidi="ar-SA"/>
              </w:rPr>
            </w:pPr>
            <w:r>
              <w:rPr>
                <w:rFonts w:cs=""/>
                <w:b/>
                <w:kern w:val="0"/>
                <w:sz w:val="17"/>
                <w:szCs w:val="22"/>
                <w:lang w:val="en-US" w:eastAsia="en-US" w:bidi="ar-SA"/>
              </w:rPr>
              <w:t>Quasar</w:t>
            </w:r>
            <w:r>
              <w:rPr>
                <w:rFonts w:cs=""/>
                <w:kern w:val="0"/>
                <w:sz w:val="17"/>
                <w:szCs w:val="22"/>
                <w:lang w:val="en-US" w:eastAsia="en-US" w:bidi="ar-SA"/>
              </w:rPr>
              <w:t xml:space="preserve"> 2.18.5</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MIT</w:t>
            </w:r>
          </w:p>
        </w:tc>
        <w:tc>
          <w:tcPr>
            <w:tcW w:w="4608"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Copyright (c) 2015-present Razvan Stoenescu</w:t>
            </w:r>
          </w:p>
        </w:tc>
      </w:tr>
      <w:tr>
        <w:trPr>
          <w:cantSplit w:val="true"/>
        </w:trPr>
        <w:tc>
          <w:tcPr>
            <w:tcW w:w="2880" w:type="dxa"/>
            <w:tcBorders/>
          </w:tcPr>
          <w:p>
            <w:pPr>
              <w:pStyle w:val="Normal"/>
              <w:widowControl/>
              <w:suppressAutoHyphens w:val="true"/>
              <w:spacing w:before="0" w:after="0"/>
              <w:jc w:val="left"/>
              <w:rPr>
                <w:rFonts w:cs=""/>
                <w:kern w:val="0"/>
                <w:szCs w:val="22"/>
                <w:lang w:val="en-US" w:eastAsia="en-US" w:bidi="ar-SA"/>
              </w:rPr>
            </w:pPr>
            <w:r>
              <w:rPr>
                <w:rFonts w:cs=""/>
                <w:b/>
                <w:kern w:val="0"/>
                <w:sz w:val="17"/>
                <w:szCs w:val="22"/>
                <w:lang w:val="en-US" w:eastAsia="en-US" w:bidi="ar-SA"/>
              </w:rPr>
              <w:t>AG Grid Community</w:t>
            </w:r>
            <w:r>
              <w:rPr>
                <w:rFonts w:cs=""/>
                <w:kern w:val="0"/>
                <w:sz w:val="17"/>
                <w:szCs w:val="22"/>
                <w:lang w:val="en-US" w:eastAsia="en-US" w:bidi="ar-SA"/>
              </w:rPr>
              <w:t xml:space="preserve"> 34.2.0</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MIT</w:t>
            </w:r>
          </w:p>
        </w:tc>
        <w:tc>
          <w:tcPr>
            <w:tcW w:w="4608"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Copyright (c) AG GRID LTD</w:t>
            </w:r>
          </w:p>
        </w:tc>
      </w:tr>
      <w:tr>
        <w:trPr>
          <w:cantSplit w:val="true"/>
        </w:trPr>
        <w:tc>
          <w:tcPr>
            <w:tcW w:w="2880" w:type="dxa"/>
            <w:tcBorders/>
          </w:tcPr>
          <w:p>
            <w:pPr>
              <w:pStyle w:val="Normal"/>
              <w:widowControl/>
              <w:suppressAutoHyphens w:val="true"/>
              <w:spacing w:before="0" w:after="0"/>
              <w:jc w:val="left"/>
              <w:rPr>
                <w:rFonts w:cs=""/>
                <w:kern w:val="0"/>
                <w:szCs w:val="22"/>
                <w:lang w:val="en-US" w:eastAsia="en-US" w:bidi="ar-SA"/>
              </w:rPr>
            </w:pPr>
            <w:r>
              <w:rPr>
                <w:rFonts w:cs=""/>
                <w:b/>
                <w:kern w:val="0"/>
                <w:sz w:val="17"/>
                <w:szCs w:val="22"/>
                <w:lang w:val="en-US" w:eastAsia="en-US" w:bidi="ar-SA"/>
              </w:rPr>
              <w:t>CodeMirror 6 (codemirror, @codemirror/*, @lezer/*)</w:t>
            </w:r>
            <w:r>
              <w:rPr>
                <w:rFonts w:cs=""/>
                <w:kern w:val="0"/>
                <w:sz w:val="17"/>
                <w:szCs w:val="22"/>
                <w:lang w:val="en-US" w:eastAsia="en-US" w:bidi="ar-SA"/>
              </w:rPr>
              <w:t xml:space="preserve"> 6.0.2</w:t>
            </w:r>
          </w:p>
        </w:tc>
        <w:tc>
          <w:tcPr>
            <w:tcW w:w="1872"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MIT</w:t>
            </w:r>
          </w:p>
        </w:tc>
        <w:tc>
          <w:tcPr>
            <w:tcW w:w="4608" w:type="dxa"/>
            <w:tcBorders/>
          </w:tcPr>
          <w:p>
            <w:pPr>
              <w:pStyle w:val="Normal"/>
              <w:widowControl/>
              <w:suppressAutoHyphens w:val="true"/>
              <w:spacing w:before="0" w:after="0"/>
              <w:jc w:val="left"/>
              <w:rPr>
                <w:rFonts w:cs=""/>
                <w:kern w:val="0"/>
                <w:szCs w:val="22"/>
                <w:lang w:val="en-US" w:eastAsia="en-US" w:bidi="ar-SA"/>
              </w:rPr>
            </w:pPr>
            <w:r>
              <w:rPr>
                <w:rFonts w:cs=""/>
                <w:kern w:val="0"/>
                <w:sz w:val="17"/>
                <w:szCs w:val="22"/>
                <w:lang w:val="en-US" w:eastAsia="en-US" w:bidi="ar-SA"/>
              </w:rPr>
              <w:t>Copyright (c) Marijn Haverbeke and others</w:t>
            </w:r>
          </w:p>
        </w:tc>
      </w:tr>
    </w:tbl>
    <w:p>
      <w:pPr>
        <w:pStyle w:val="Normal"/>
        <w:spacing w:before="0" w:after="40"/>
        <w:rPr/>
      </w:pPr>
      <w:r>
        <w:rPr/>
      </w:r>
    </w:p>
    <w:p>
      <w:pPr>
        <w:pStyle w:val="Heading3"/>
        <w:rPr/>
      </w:pPr>
      <w:r>
        <w:rPr/>
        <w:t>Obligations to note</w:t>
      </w:r>
    </w:p>
    <w:p>
      <w:pPr>
        <w:pStyle w:val="ListBullet"/>
        <w:numPr>
          <w:ilvl w:val="0"/>
          <w:numId w:val="1"/>
        </w:numPr>
        <w:spacing w:before="0" w:after="60"/>
        <w:contextualSpacing/>
        <w:rPr/>
      </w:pPr>
      <w:r>
        <w:rPr>
          <w:b/>
        </w:rPr>
        <w:t>fpdf2 (LGPL-3.0)</w:t>
      </w:r>
      <w:r>
        <w:rPr/>
        <w:t xml:space="preserve"> is used unmodified as a separately installed library that can be replaced, as the LGPL permits; changes to fpdf2 itself would have to be released under the LGPL.</w:t>
      </w:r>
    </w:p>
    <w:p>
      <w:pPr>
        <w:pStyle w:val="ListBullet"/>
        <w:numPr>
          <w:ilvl w:val="0"/>
          <w:numId w:val="1"/>
        </w:numPr>
        <w:spacing w:before="0" w:after="60"/>
        <w:contextualSpacing/>
        <w:rPr/>
      </w:pPr>
      <w:r>
        <w:rPr>
          <w:b/>
        </w:rPr>
        <w:t>MPL-2.0</w:t>
      </w:r>
      <w:r>
        <w:rPr/>
        <w:t xml:space="preserve"> components (bidict, certifi, parts of orjson, and DOMPurify as an option) are used unmodified; the MPL applies file by file.</w:t>
      </w:r>
    </w:p>
    <w:p>
      <w:pPr>
        <w:pStyle w:val="ListBullet"/>
        <w:numPr>
          <w:ilvl w:val="0"/>
          <w:numId w:val="1"/>
        </w:numPr>
        <w:spacing w:before="0" w:after="60"/>
        <w:contextualSpacing/>
        <w:rPr/>
      </w:pPr>
      <w:r>
        <w:rPr>
          <w:b/>
        </w:rPr>
        <w:t>Container images</w:t>
      </w:r>
      <w:r>
        <w:rPr/>
        <w:t xml:space="preserve"> include Debian and Alpine packages under various licenses, including GPL and LGPL; CPython is under the PSF License and Caddy under Apache-2.0.</w:t>
      </w:r>
    </w:p>
    <w:p>
      <w:pPr>
        <w:pStyle w:val="ListBullet"/>
        <w:numPr>
          <w:ilvl w:val="0"/>
          <w:numId w:val="1"/>
        </w:numPr>
        <w:spacing w:before="0" w:after="60"/>
        <w:contextualSpacing/>
        <w:rPr/>
      </w:pPr>
      <w:r>
        <w:rPr>
          <w:b/>
        </w:rPr>
        <w:t>XDTS specification</w:t>
      </w:r>
      <w:r>
        <w:rPr/>
        <w:t xml:space="preserve">: </w:t>
      </w:r>
      <w:r>
        <w:rPr>
          <w:rFonts w:ascii="Consolas" w:hAnsi="Consolas"/>
          <w:sz w:val="19"/>
        </w:rPr>
        <w:t>doc/XDTSFileFormat_en.pdf</w:t>
      </w:r>
      <w:r>
        <w:rPr/>
        <w:t xml:space="preserve"> and </w:t>
      </w:r>
      <w:r>
        <w:rPr>
          <w:rFonts w:ascii="Consolas" w:hAnsi="Consolas"/>
          <w:sz w:val="19"/>
        </w:rPr>
        <w:t>tools/xdts-20261206.json</w:t>
      </w:r>
      <w:r>
        <w:rPr/>
        <w:t xml:space="preserve"> are third-party material that states no license; confirm redistribution terms with the format's publisher.</w:t>
      </w:r>
    </w:p>
    <w:p>
      <w:pPr>
        <w:pStyle w:val="Normal"/>
        <w:rPr/>
      </w:pPr>
      <w:r>
        <w:rPr>
          <w:sz w:val="18"/>
        </w:rPr>
        <w:t>This inventory is provided for information and is not legal advice; each component's own license is authoritative.</w:t>
      </w:r>
    </w:p>
    <w:p>
      <w:pPr>
        <w:pStyle w:val="Heading1"/>
        <w:rPr/>
      </w:pPr>
      <w:bookmarkStart w:id="9018" w:name="__RefHeading___Toc9991_150"/>
      <w:r>
        <w:rPr/>
        <w:t>Contact Information</w:t>
      </w:r>
      <w:bookmarkEnd w:id="9018"/>
    </w:p>
    <w:p>
      <w:pPr>
        <w:pStyle w:val="Normal"/>
        <w:keepNext w:val="true"/>
        <w:tabs>
          <w:tab w:val="clear" w:pos="720"/>
          <w:tab w:val="left" w:pos="1728" w:leader="none"/>
        </w:tabs>
        <w:spacing w:before="0" w:after="60"/>
        <w:rPr/>
      </w:pPr>
      <w:r>
        <w:rPr>
          <w:b/>
        </w:rPr>
        <w:t>Project:</w:t>
      </w:r>
      <w:r>
        <w:rPr/>
        <w:tab/>
        <w:t>https://github.com/magic-lantern-workbench/mlw-xsheet</w:t>
      </w:r>
    </w:p>
    <w:p>
      <w:pPr>
        <w:pStyle w:val="Normal"/>
        <w:keepNext w:val="true"/>
        <w:tabs>
          <w:tab w:val="clear" w:pos="720"/>
          <w:tab w:val="left" w:pos="1728" w:leader="none"/>
        </w:tabs>
        <w:spacing w:before="0" w:after="60"/>
        <w:rPr/>
      </w:pPr>
      <w:r>
        <w:rPr>
          <w:b/>
        </w:rPr>
        <w:t>Issues:</w:t>
      </w:r>
      <w:r>
        <w:rPr/>
        <w:tab/>
        <w:t>https://github.com/magic-lantern-workbench/mlw-xsheet/issues</w:t>
      </w:r>
    </w:p>
    <w:p>
      <w:pPr>
        <w:pStyle w:val="Normal"/>
        <w:keepNext w:val="true"/>
        <w:tabs>
          <w:tab w:val="clear" w:pos="720"/>
          <w:tab w:val="left" w:pos="1728" w:leader="none"/>
        </w:tabs>
        <w:spacing w:before="0" w:after="60"/>
        <w:rPr/>
      </w:pPr>
      <w:r>
        <w:rPr>
          <w:b/>
        </w:rPr>
        <w:t>Author:</w:t>
      </w:r>
      <w:r>
        <w:rPr/>
        <w:tab/>
        <w:t>Mark Millard</w:t>
      </w:r>
    </w:p>
    <w:p>
      <w:pPr>
        <w:pStyle w:val="Normal"/>
        <w:keepNext w:val="true"/>
        <w:tabs>
          <w:tab w:val="clear" w:pos="720"/>
          <w:tab w:val="left" w:pos="1728" w:leader="none"/>
        </w:tabs>
        <w:spacing w:before="0" w:after="60"/>
        <w:rPr/>
      </w:pPr>
      <w:r>
        <w:rPr>
          <w:b/>
        </w:rPr>
        <w:t>Company:</w:t>
      </w:r>
      <w:r>
        <w:rPr/>
        <w:tab/>
        <w:t>Wizzer Works</w:t>
      </w:r>
    </w:p>
    <w:p>
      <w:pPr>
        <w:pStyle w:val="Normal"/>
        <w:keepNext w:val="false"/>
        <w:tabs>
          <w:tab w:val="clear" w:pos="720"/>
          <w:tab w:val="left" w:pos="1728" w:leader="none"/>
        </w:tabs>
        <w:spacing w:before="0" w:after="60"/>
        <w:rPr/>
      </w:pPr>
      <w:r>
        <w:rPr>
          <w:b/>
        </w:rPr>
        <w:t>Email:</w:t>
      </w:r>
      <w:r>
        <w:rPr/>
        <w:tab/>
        <w:t>msm@wizzerworks.com</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440" w:right="1440" w:gutter="0" w:header="0" w:top="1296" w:footer="720" w:bottom="1296"/>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B7280"/>
        <w:sz w:val="17"/>
      </w:rPr>
      <w:t xml:space="preserve">mlw-xsheet 1.6.0 Release Notes   |   Page </w:t>
    </w:r>
    <w:r>
      <w:rPr>
        <w:sz w:val="17"/>
      </w:rPr>
      <w:t>46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B7280"/>
        <w:sz w:val="17"/>
      </w:rPr>
      <w:t xml:space="preserve">mlw-xsheet 1.6.0 Release Notes   |   Page </w:t>
    </w:r>
    <w:r>
      <w:rPr>
        <w:sz w:val="17"/>
      </w:rPr>
      <w:t>46</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64" w:before="0" w:after="120"/>
      <w:jc w:val="left"/>
    </w:pPr>
    <w:rPr>
      <w:rFonts w:ascii="Calibri" w:hAnsi="Calibri" w:eastAsia="Calibri" w:cs="" w:cstheme="minorBidi"/>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20"/>
      <w:outlineLvl w:val="0"/>
    </w:pPr>
    <w:rPr>
      <w:rFonts w:ascii="Calibri" w:hAnsi="Calibri" w:eastAsia="" w:cs="" w:asciiTheme="majorHAnsi" w:cstheme="majorBidi" w:eastAsiaTheme="majorEastAsia" w:hAnsiTheme="majorHAnsi"/>
      <w:b/>
      <w:bCs/>
      <w:color w:val="2B5D8A"/>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2B5D8A"/>
      <w:sz w:val="28"/>
      <w:szCs w:val="26"/>
    </w:rPr>
  </w:style>
  <w:style w:type="paragraph" w:styleId="Heading3">
    <w:name w:val="Heading 3"/>
    <w:basedOn w:val="Normal"/>
    <w:next w:val="Normal"/>
    <w:link w:val="Heading3Char"/>
    <w:uiPriority w:val="9"/>
    <w:unhideWhenUsed/>
    <w:qFormat/>
    <w:rsid w:val="00fc693f"/>
    <w:pPr>
      <w:keepNext w:val="true"/>
      <w:keepLines/>
      <w:spacing w:before="240" w:after="120"/>
      <w:outlineLvl w:val="2"/>
    </w:pPr>
    <w:rPr>
      <w:rFonts w:ascii="Calibri" w:hAnsi="Calibri" w:eastAsia="" w:cs="" w:asciiTheme="majorHAnsi" w:cstheme="majorBidi" w:eastAsiaTheme="majorEastAsia" w:hAnsiTheme="majorHAnsi"/>
      <w:b/>
      <w:bCs/>
      <w:color w:val="2B5D8A"/>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Pages>52</Pages>
  <Words>13725</Words>
  <Characters>82416</Characters>
  <CharactersWithSpaces>103141</CharactersWithSpaces>
  <Paragraphs>1094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Mark Millard</dc:creator>
  <dc:description>generated by python-docx</dc:description>
  <dc:language>en-US</dc:language>
  <cp:lastModifiedBy/>
  <dcterms:modified xsi:type="dcterms:W3CDTF">2026-10-12T16:01:44Z</dcterms:modified>
  <cp:revision>3</cp:revision>
  <dc:subject>mlw-xsheet release notes</dc:subject>
  <dc:title>Magic Lantern XSheet Viewer 1.3.0 Release Notes</dc:title>
</cp:coreProperties>
</file>

<file path=docProps/custom.xml><?xml version="1.0" encoding="utf-8"?>
<Properties xmlns="http://schemas.openxmlformats.org/officeDocument/2006/custom-properties" xmlns:vt="http://schemas.openxmlformats.org/officeDocument/2006/docPropsVTypes"/>
</file>