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v1.9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v2.7</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외부 법률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정해진 관할·범위·기준일의 법률 검수</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자격·계약·NDA·제외 범위 확인 후 접근</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서비스·선택한 목표 국가 목록·상태를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 · target_jurisdictions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 지정 개별 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사용자가 지정한 개별 URL은 각각 안전검사 후 분석하며, 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사용자가 선택한 목표 국가의 초안만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일반 검토와 변호사 검수는 화면·데이터·감사 로그에서 구분된다.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지원하는 4개 관할의 법률 콘텐츠, 고객 사실 확인, 선택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4개 관할 중 목표 국가 선택→선택 국가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bl>
    <w:p>
      <w:pPr>
        <w:spacing w:before="80" w:after="0"/>
      </w:pPr>
    </w:p>
    <w:p>
      <w:pPr>
        <w:pStyle w:val="Heading1"/>
      </w:pPr>
      <w:r>
        <w:t>8. 기존 기능 ID 처리표</w:t>
      </w:r>
    </w:p>
    <w:p>
      <w:r>
        <w:rPr>
          <w:rFonts w:ascii="Apple SD Gothic Neo" w:hAnsi="Apple SD Gothic Neo" w:eastAsia="Apple SD Gothic Neo"/>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