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TECHNICAL REVIEW APPENDIX</w:t>
      </w:r>
    </w:p>
    <w:p>
      <w:pPr>
        <w:keepNext/>
        <w:spacing w:after="160"/>
        <w:jc w:val="left"/>
      </w:pPr>
      <w:r>
        <w:rPr>
          <w:rFonts w:ascii="Arial Unicode MS" w:hAnsi="Arial Unicode MS" w:eastAsia="Arial Unicode MS"/>
          <w:b/>
          <w:color w:val="16243A"/>
          <w:sz w:val="50"/>
        </w:rPr>
        <w:t>글로벌 개인정보 문서 서비스</w:t>
        <w:br/>
        <w:t>기술검토 부록</w:t>
      </w:r>
    </w:p>
    <w:p>
      <w:pPr>
        <w:spacing w:after="320"/>
        <w:jc w:val="left"/>
      </w:pPr>
      <w:r>
        <w:rPr>
          <w:rFonts w:ascii="Arial Unicode MS" w:hAnsi="Arial Unicode MS" w:eastAsia="Arial Unicode MS"/>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v1.2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글로벌 개인정보 문서 서비스 기능정의서 v2.2</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읽는 법  </w:t>
            </w:r>
            <w:r>
              <w:rPr>
                <w:rFonts w:ascii="Arial Unicode MS" w:hAnsi="Arial Unicode MS" w:eastAsia="Arial Unicode MS"/>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검사·추출·조합·검증·diff·영향 계산</w:t>
            </w:r>
          </w:p>
        </w:tc>
        <w:tc>
          <w:tcPr>
            <w:tcW w:type="dxa" w:w="34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rial Unicode MS" w:hAnsi="Arial Unicode MS" w:eastAsia="Arial Unicode MS"/>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rial Unicode MS" w:hAnsi="Arial Unicode MS" w:eastAsia="Arial Unicode MS"/>
            <w:color w:val="2454DB"/>
            <w:u w:val="single"/>
          </w:rPr>
          <w:t>대한민국 개인정보 보호법 제22조의2·제23조</w:t>
        </w:r>
      </w:hyperlink>
      <w:r>
        <w:rPr>
          <w:rFonts w:ascii="Arial Unicode MS" w:hAnsi="Arial Unicode MS" w:eastAsia="Arial Unicode MS"/>
          <w:color w:val="5E6878"/>
          <w:sz w:val="19"/>
        </w:rPr>
        <w:t xml:space="preserve"> — 아동의 개인정보 보호와 민감정보 처리 제한</w:t>
      </w:r>
    </w:p>
    <w:p>
      <w:pPr>
        <w:spacing w:after="100"/>
      </w:pPr>
      <w:hyperlink r:id="rId12">
        <w:r>
          <w:rPr>
            <w:rFonts w:ascii="Arial Unicode MS" w:hAnsi="Arial Unicode MS" w:eastAsia="Arial Unicode MS"/>
            <w:color w:val="2454DB"/>
            <w:u w:val="single"/>
          </w:rPr>
          <w:t>California CPPA Final Regulations</w:t>
        </w:r>
      </w:hyperlink>
      <w:r>
        <w:rPr>
          <w:rFonts w:ascii="Arial Unicode MS" w:hAnsi="Arial Unicode MS" w:eastAsia="Arial Unicode MS"/>
          <w:color w:val="5E6878"/>
          <w:sz w:val="19"/>
        </w:rPr>
        <w:t xml:space="preserve"> — 민감 개인정보, ADMT, 중대한 결정, 체계적 관찰, 위험평가</w:t>
      </w:r>
    </w:p>
    <w:p>
      <w:pPr>
        <w:spacing w:after="100"/>
      </w:pPr>
      <w:hyperlink r:id="rId13">
        <w:r>
          <w:rPr>
            <w:rFonts w:ascii="Arial Unicode MS" w:hAnsi="Arial Unicode MS" w:eastAsia="Arial Unicode MS"/>
            <w:color w:val="2454DB"/>
            <w:u w:val="single"/>
          </w:rPr>
          <w:t>Japan PPC — APPI Laws and Policies</w:t>
        </w:r>
      </w:hyperlink>
      <w:r>
        <w:rPr>
          <w:rFonts w:ascii="Arial Unicode MS" w:hAnsi="Arial Unicode MS" w:eastAsia="Arial Unicode MS"/>
          <w:color w:val="5E6878"/>
          <w:sz w:val="19"/>
        </w:rPr>
        <w:t xml:space="preserve"> — 요배려 개인정보와 APPI 공식 자료</w:t>
      </w:r>
    </w:p>
    <w:p>
      <w:pPr>
        <w:spacing w:after="100"/>
      </w:pPr>
      <w:hyperlink r:id="rId14">
        <w:r>
          <w:rPr>
            <w:rFonts w:ascii="Arial Unicode MS" w:hAnsi="Arial Unicode MS" w:eastAsia="Arial Unicode MS"/>
            <w:color w:val="2454DB"/>
            <w:u w:val="single"/>
          </w:rPr>
          <w:t>Singapore PDPC — Selected Topics</w:t>
        </w:r>
      </w:hyperlink>
      <w:r>
        <w:rPr>
          <w:rFonts w:ascii="Arial Unicode MS" w:hAnsi="Arial Unicode MS" w:eastAsia="Arial Unicode MS"/>
          <w:color w:val="5E6878"/>
          <w:sz w:val="19"/>
        </w:rPr>
        <w:t xml:space="preserve"> — 미성년자·온라인 활동·고용 등 주제별 PDPA 지침</w:t>
      </w:r>
    </w:p>
    <w:p>
      <w:pPr>
        <w:spacing w:after="100"/>
      </w:pPr>
      <w:hyperlink r:id="rId15">
        <w:r>
          <w:rPr>
            <w:rFonts w:ascii="Arial Unicode MS" w:hAnsi="Arial Unicode MS" w:eastAsia="Arial Unicode MS"/>
            <w:color w:val="2454DB"/>
            <w:u w:val="single"/>
          </w:rPr>
          <w:t>Singapore PDPC — Biometric Data Guide</w:t>
        </w:r>
      </w:hyperlink>
      <w:r>
        <w:rPr>
          <w:rFonts w:ascii="Arial Unicode MS" w:hAnsi="Arial Unicode MS" w:eastAsia="Arial Unicode MS"/>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company_id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서비스·목표 국가·상태를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project_id · company_id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jurisdiction · version · legal_as_of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특정 사실·규칙·조항으로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version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공식 출처의 특정 시점 원문</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 fetched_at · hash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법률 변경</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감지 → 검토 대기 → 대상 아님/수정 필요 → 승인 → 영향 계산 → 고객 확인</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감지만으로 법률 변경이나 고객 문서 수정으로 확정하지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사실→규칙→조항→문서 버전, 출처 스냅샷→검토→영향→고객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rial Unicode MS" w:hAnsi="Arial Unicode MS" w:eastAsia="Arial Unicode MS"/>
          <w:color w:val="16243A"/>
          <w:sz w:val="21"/>
        </w:rPr>
        <w:t>가입 필수 동의가 없으면 실제 고객 계정을 만들 수 없다.</w:t>
      </w:r>
    </w:p>
    <w:p>
      <w:pPr>
        <w:numPr>
          <w:ilvl w:val="0"/>
          <w:numId w:val="11"/>
        </w:numPr>
        <w:spacing w:after="100" w:line="300" w:lineRule="auto"/>
        <w:ind w:left="540" w:hanging="271"/>
      </w:pPr>
      <w:r>
        <w:rPr>
          <w:rFonts w:ascii="Arial Unicode MS" w:hAnsi="Arial Unicode MS" w:eastAsia="Arial Unicode MS"/>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rial Unicode MS" w:hAnsi="Arial Unicode MS" w:eastAsia="Arial Unicode MS"/>
          <w:color w:val="16243A"/>
          <w:sz w:val="21"/>
        </w:rPr>
        <w:t>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rial Unicode MS" w:hAnsi="Arial Unicode MS" w:eastAsia="Arial Unicode MS"/>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rial Unicode MS" w:hAnsi="Arial Unicode MS" w:eastAsia="Arial Unicode MS"/>
          <w:color w:val="16243A"/>
          <w:sz w:val="21"/>
        </w:rPr>
        <w:t>확정 사실로 4개 국가 초안을 만들고 국가별 차이와 생성 근거를 확인할 수 있다.</w:t>
      </w:r>
    </w:p>
    <w:p>
      <w:pPr>
        <w:numPr>
          <w:ilvl w:val="0"/>
          <w:numId w:val="11"/>
        </w:numPr>
        <w:spacing w:after="100" w:line="300" w:lineRule="auto"/>
        <w:ind w:left="540" w:hanging="271"/>
      </w:pPr>
      <w:r>
        <w:rPr>
          <w:rFonts w:ascii="Arial Unicode MS" w:hAnsi="Arial Unicode MS" w:eastAsia="Arial Unicode MS"/>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rial Unicode MS" w:hAnsi="Arial Unicode MS" w:eastAsia="Arial Unicode MS"/>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rial Unicode MS" w:hAnsi="Arial Unicode MS" w:eastAsia="Arial Unicode MS"/>
          <w:color w:val="16243A"/>
          <w:sz w:val="21"/>
        </w:rPr>
        <w:t>공식 출처 문구 변화는 검토 대기열만 만들며 규칙·조항 또는 고객 문서를 자동 변경하지 않는다.</w:t>
      </w:r>
    </w:p>
    <w:p>
      <w:pPr>
        <w:numPr>
          <w:ilvl w:val="0"/>
          <w:numId w:val="11"/>
        </w:numPr>
        <w:spacing w:after="100" w:line="300" w:lineRule="auto"/>
        <w:ind w:left="540" w:hanging="271"/>
      </w:pPr>
      <w:r>
        <w:rPr>
          <w:rFonts w:ascii="Arial Unicode MS" w:hAnsi="Arial Unicode MS" w:eastAsia="Arial Unicode MS"/>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rial Unicode MS" w:hAnsi="Arial Unicode MS" w:eastAsia="Arial Unicode MS"/>
          <w:color w:val="16243A"/>
          <w:sz w:val="21"/>
        </w:rPr>
        <w:t>일반 검토와 변호사 검수는 화면·데이터·감사 로그에서 구분된다.</w:t>
      </w:r>
    </w:p>
    <w:p>
      <w:pPr>
        <w:numPr>
          <w:ilvl w:val="0"/>
          <w:numId w:val="11"/>
        </w:numPr>
        <w:spacing w:after="100" w:line="300" w:lineRule="auto"/>
        <w:ind w:left="540" w:hanging="271"/>
      </w:pPr>
      <w:r>
        <w:rPr>
          <w:rFonts w:ascii="Arial Unicode MS" w:hAnsi="Arial Unicode MS" w:eastAsia="Arial Unicode MS"/>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rial Unicode MS" w:hAnsi="Arial Unicode MS" w:eastAsia="Arial Unicode MS"/>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조사 결론  </w:t>
            </w:r>
            <w:r>
              <w:rPr>
                <w:rFonts w:ascii="Arial Unicode MS" w:hAnsi="Arial Unicode MS" w:eastAsia="Arial Unicode MS"/>
                <w:color w:val="16243A"/>
                <w:sz w:val="20"/>
              </w:rPr>
              <w:t>4개 관할 법률 콘텐츠, 고객 사실 확인,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rial Unicode MS" w:hAnsi="Arial Unicode MS" w:eastAsia="Arial Unicode MS"/>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rial Unicode MS" w:hAnsi="Arial Unicode MS" w:eastAsia="Arial Unicode MS"/>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rial Unicode MS" w:hAnsi="Arial Unicode MS" w:eastAsia="Arial Unicode MS"/>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rial Unicode MS" w:hAnsi="Arial Unicode MS" w:eastAsia="Arial Unicode MS"/>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rial Unicode MS" w:hAnsi="Arial Unicode MS" w:eastAsia="Arial Unicode MS"/>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 검사→사실 확인→4개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rial Unicode MS" w:hAnsi="Arial Unicode MS" w:eastAsia="Arial Unicode MS"/>
            <w:color w:val="2454DB"/>
            <w:u w:val="single"/>
          </w:rPr>
          <w:t>Microsoft / Data Privacy Stack Presidio</w:t>
        </w:r>
      </w:hyperlink>
      <w:r>
        <w:rPr>
          <w:rFonts w:ascii="Arial Unicode MS" w:hAnsi="Arial Unicode MS" w:eastAsia="Arial Unicode MS"/>
          <w:color w:val="5E6878"/>
          <w:sz w:val="19"/>
        </w:rPr>
        <w:t xml:space="preserve"> — PII 탐지·비식별화, MIT</w:t>
      </w:r>
    </w:p>
    <w:p>
      <w:pPr>
        <w:spacing w:after="100"/>
      </w:pPr>
      <w:hyperlink r:id="rId17">
        <w:r>
          <w:rPr>
            <w:rFonts w:ascii="Arial Unicode MS" w:hAnsi="Arial Unicode MS" w:eastAsia="Arial Unicode MS"/>
            <w:color w:val="2454DB"/>
            <w:u w:val="single"/>
          </w:rPr>
          <w:t>Ethyca Fides</w:t>
        </w:r>
      </w:hyperlink>
      <w:r>
        <w:rPr>
          <w:rFonts w:ascii="Arial Unicode MS" w:hAnsi="Arial Unicode MS" w:eastAsia="Arial Unicode MS"/>
          <w:color w:val="5E6878"/>
          <w:sz w:val="19"/>
        </w:rPr>
        <w:t xml:space="preserve"> — privacy-as-code 플랫폼, Apache-2.0</w:t>
      </w:r>
    </w:p>
    <w:p>
      <w:pPr>
        <w:spacing w:after="100"/>
      </w:pPr>
      <w:hyperlink r:id="rId18">
        <w:r>
          <w:rPr>
            <w:rFonts w:ascii="Arial Unicode MS" w:hAnsi="Arial Unicode MS" w:eastAsia="Arial Unicode MS"/>
            <w:color w:val="2454DB"/>
            <w:u w:val="single"/>
          </w:rPr>
          <w:t>IAB Tech Lab fideslang</w:t>
        </w:r>
      </w:hyperlink>
      <w:r>
        <w:rPr>
          <w:rFonts w:ascii="Arial Unicode MS" w:hAnsi="Arial Unicode MS" w:eastAsia="Arial Unicode MS"/>
          <w:color w:val="5E6878"/>
          <w:sz w:val="19"/>
        </w:rPr>
        <w:t xml:space="preserve"> — 개인정보 분류 언어, CC BY 4.0</w:t>
      </w:r>
    </w:p>
    <w:p>
      <w:pPr>
        <w:spacing w:after="100"/>
      </w:pPr>
      <w:hyperlink r:id="rId19">
        <w:r>
          <w:rPr>
            <w:rFonts w:ascii="Arial Unicode MS" w:hAnsi="Arial Unicode MS" w:eastAsia="Arial Unicode MS"/>
            <w:color w:val="2454DB"/>
            <w:u w:val="single"/>
          </w:rPr>
          <w:t>Open Terms Archive Engine</w:t>
        </w:r>
      </w:hyperlink>
      <w:r>
        <w:rPr>
          <w:rFonts w:ascii="Arial Unicode MS" w:hAnsi="Arial Unicode MS" w:eastAsia="Arial Unicode MS"/>
          <w:color w:val="5E6878"/>
          <w:sz w:val="19"/>
        </w:rPr>
        <w:t xml:space="preserve"> — 온라인 문서 스냅샷·버전 추적, EUPL-1.2</w:t>
      </w:r>
    </w:p>
    <w:p>
      <w:pPr>
        <w:spacing w:after="100"/>
      </w:pPr>
      <w:hyperlink r:id="rId20">
        <w:r>
          <w:rPr>
            <w:rFonts w:ascii="Arial Unicode MS" w:hAnsi="Arial Unicode MS" w:eastAsia="Arial Unicode MS"/>
            <w:color w:val="2454DB"/>
            <w:u w:val="single"/>
          </w:rPr>
          <w:t>docassemble</w:t>
        </w:r>
      </w:hyperlink>
      <w:r>
        <w:rPr>
          <w:rFonts w:ascii="Arial Unicode MS" w:hAnsi="Arial Unicode MS" w:eastAsia="Arial Unicode MS"/>
          <w:color w:val="5E6878"/>
          <w:sz w:val="19"/>
        </w:rPr>
        <w:t xml:space="preserve"> — 가이드 인터뷰·문서 조립, MIT</w:t>
      </w:r>
    </w:p>
    <w:p>
      <w:pPr>
        <w:spacing w:after="100"/>
      </w:pPr>
      <w:hyperlink r:id="rId21">
        <w:r>
          <w:rPr>
            <w:rFonts w:ascii="Arial Unicode MS" w:hAnsi="Arial Unicode MS" w:eastAsia="Arial Unicode MS"/>
            <w:color w:val="2454DB"/>
            <w:u w:val="single"/>
          </w:rPr>
          <w:t>korean-privacy-terms</w:t>
        </w:r>
      </w:hyperlink>
      <w:r>
        <w:rPr>
          <w:rFonts w:ascii="Arial Unicode MS" w:hAnsi="Arial Unicode MS" w:eastAsia="Arial Unicode MS"/>
          <w:color w:val="5E6878"/>
          <w:sz w:val="19"/>
        </w:rPr>
        <w:t xml:space="preserve"> — KR/US/JP 개인정보 문서 스킬, Apache-2.0</w:t>
      </w:r>
    </w:p>
    <w:p>
      <w:pPr>
        <w:spacing w:after="100"/>
      </w:pPr>
      <w:hyperlink r:id="rId22">
        <w:r>
          <w:rPr>
            <w:rFonts w:ascii="Arial Unicode MS" w:hAnsi="Arial Unicode MS" w:eastAsia="Arial Unicode MS"/>
            <w:color w:val="2454DB"/>
            <w:u w:val="single"/>
          </w:rPr>
          <w:t>PrivacyQuant</w:t>
        </w:r>
      </w:hyperlink>
      <w:r>
        <w:rPr>
          <w:rFonts w:ascii="Arial Unicode MS" w:hAnsi="Arial Unicode MS" w:eastAsia="Arial Unicode MS"/>
          <w:color w:val="5E6878"/>
          <w:sz w:val="19"/>
        </w:rPr>
        <w:t xml:space="preserve"> — 미국 주 개인정보법 버전 지식그래프, MIT</w:t>
      </w:r>
    </w:p>
    <w:p>
      <w:pPr>
        <w:spacing w:after="100"/>
      </w:pPr>
      <w:hyperlink r:id="rId23">
        <w:r>
          <w:rPr>
            <w:rFonts w:ascii="Arial Unicode MS" w:hAnsi="Arial Unicode MS" w:eastAsia="Arial Unicode MS"/>
            <w:color w:val="2454DB"/>
            <w:u w:val="single"/>
          </w:rPr>
          <w:t>Privado</w:t>
        </w:r>
      </w:hyperlink>
      <w:r>
        <w:rPr>
          <w:rFonts w:ascii="Arial Unicode MS" w:hAnsi="Arial Unicode MS" w:eastAsia="Arial Unicode MS"/>
          <w:color w:val="5E6878"/>
          <w:sz w:val="19"/>
        </w:rPr>
        <w:t xml:space="preserve"> — 소스코드 개인정보 데이터 흐름 분석</w:t>
      </w:r>
    </w:p>
    <w:p>
      <w:pPr>
        <w:spacing w:after="100"/>
      </w:pPr>
      <w:hyperlink r:id="rId24">
        <w:r>
          <w:rPr>
            <w:rFonts w:ascii="Arial Unicode MS" w:hAnsi="Arial Unicode MS" w:eastAsia="Arial Unicode MS"/>
            <w:color w:val="2454DB"/>
            <w:u w:val="single"/>
          </w:rPr>
          <w:t>PrivacyFlash Pro</w:t>
        </w:r>
      </w:hyperlink>
      <w:r>
        <w:rPr>
          <w:rFonts w:ascii="Arial Unicode MS" w:hAnsi="Arial Unicode MS" w:eastAsia="Arial Unicode MS"/>
          <w:color w:val="5E6878"/>
          <w:sz w:val="19"/>
        </w:rPr>
        <w:t xml:space="preserve"> — iOS 코드 기반 정책 생성 연구, MIT</w:t>
      </w:r>
    </w:p>
    <w:p>
      <w:pPr>
        <w:spacing w:after="100"/>
      </w:pPr>
      <w:hyperlink r:id="rId25">
        <w:r>
          <w:rPr>
            <w:rFonts w:ascii="Arial Unicode MS" w:hAnsi="Arial Unicode MS" w:eastAsia="Arial Unicode MS"/>
            <w:color w:val="2454DB"/>
            <w:u w:val="single"/>
          </w:rPr>
          <w:t>PolicyLint / PoliCheck</w:t>
        </w:r>
      </w:hyperlink>
      <w:r>
        <w:rPr>
          <w:rFonts w:ascii="Arial Unicode MS" w:hAnsi="Arial Unicode MS" w:eastAsia="Arial Unicode MS"/>
          <w:color w:val="5E6878"/>
          <w:sz w:val="19"/>
        </w:rPr>
        <w:t xml:space="preserve"> — 정책 모순·데이터 흐름 일치 연구, BSD-3-Clause</w:t>
      </w:r>
    </w:p>
    <w:p>
      <w:pPr>
        <w:spacing w:after="100"/>
      </w:pPr>
      <w:hyperlink r:id="rId26">
        <w:r>
          <w:rPr>
            <w:rFonts w:ascii="Arial Unicode MS" w:hAnsi="Arial Unicode MS" w:eastAsia="Arial Unicode MS"/>
            <w:color w:val="2454DB"/>
            <w:u w:val="single"/>
          </w:rPr>
          <w:t>changedetection.io</w:t>
        </w:r>
      </w:hyperlink>
      <w:r>
        <w:rPr>
          <w:rFonts w:ascii="Arial Unicode MS" w:hAnsi="Arial Unicode MS" w:eastAsia="Arial Unicode MS"/>
          <w:color w:val="5E6878"/>
          <w:sz w:val="19"/>
        </w:rPr>
        <w:t xml:space="preserve"> — 웹 변경 감지. 별도 상업 호스팅 파일 확인 필요</w:t>
      </w:r>
    </w:p>
    <w:p>
      <w:pPr>
        <w:spacing w:after="100"/>
      </w:pPr>
      <w:hyperlink r:id="rId27">
        <w:r>
          <w:rPr>
            <w:rFonts w:ascii="Arial Unicode MS" w:hAnsi="Arial Unicode MS" w:eastAsia="Arial Unicode MS"/>
            <w:color w:val="2454DB"/>
            <w:u w:val="single"/>
          </w:rPr>
          <w:t>changedetection.io commercial hosting notice</w:t>
        </w:r>
      </w:hyperlink>
      <w:r>
        <w:rPr>
          <w:rFonts w:ascii="Arial Unicode MS" w:hAnsi="Arial Unicode MS" w:eastAsia="Arial Unicode MS"/>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rial Unicode MS" w:hAnsi="Arial Unicode MS" w:eastAsia="Arial Unicode MS"/>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기술검토 부록   ·   FDS-APP-2026-08-v1.2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