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v1.7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v2.7</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채널·수신 동의·중요 변경 기준·재동의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제품 성공 기준</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활성화·문서 완성·오류·검토시간·변경대응 KPI와 목표값</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