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sz w:val="21"/>
        </w:rPr>
        <w:t>测试报告</w:t>
      </w:r>
    </w:p>
    <w:p>
      <w:pPr>
        <w:pStyle w:val="Heading2"/>
      </w:pPr>
      <w:r>
        <w:rPr>
          <w:rFonts w:ascii="Microsoft YaHei" w:hAnsi="Microsoft YaHei" w:eastAsia="Microsoft YaHei"/>
          <w:b w:val="0"/>
          <w:sz w:val="21"/>
        </w:rPr>
        <w:t>一.本地大模型直接输出的结果对比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vAlign w:val="top"/>
          </w:tcPr>
          <w:p>
            <w:r>
              <w:rPr>
                <w:rFonts w:ascii="Microsoft YaHei" w:hAnsi="Microsoft YaHei" w:eastAsia="Microsoft YaHei"/>
                <w:b/>
                <w:sz w:val="21"/>
              </w:rPr>
              <w:t>合同（表一）</w:t>
            </w:r>
          </w:p>
        </w:tc>
        <w:tc>
          <w:tcPr>
            <w:tcW w:type="dxa" w:w="1234"/>
            <w:vAlign w:val="top"/>
          </w:tcPr>
          <w:p>
            <w:r>
              <w:rPr>
                <w:rFonts w:ascii="Microsoft YaHei" w:hAnsi="Microsoft YaHei" w:eastAsia="Microsoft YaHei"/>
                <w:b/>
                <w:sz w:val="21"/>
              </w:rPr>
              <w:t>采纳情况说明的标签</w:t>
            </w:r>
          </w:p>
        </w:tc>
        <w:tc>
          <w:tcPr>
            <w:tcW w:type="dxa" w:w="1234"/>
            <w:vAlign w:val="top"/>
          </w:tcPr>
          <w:p>
            <w:r>
              <w:rPr>
                <w:rFonts w:ascii="Microsoft YaHei" w:hAnsi="Microsoft YaHei" w:eastAsia="Microsoft YaHei"/>
                <w:b/>
                <w:sz w:val="21"/>
              </w:rPr>
              <w:t>提取出的测量标签</w:t>
            </w:r>
          </w:p>
        </w:tc>
        <w:tc>
          <w:tcPr>
            <w:tcW w:type="dxa" w:w="1234"/>
            <w:vAlign w:val="top"/>
          </w:tcPr>
          <w:p>
            <w:r>
              <w:rPr>
                <w:rFonts w:ascii="Microsoft YaHei" w:hAnsi="Microsoft YaHei" w:eastAsia="Microsoft YaHei"/>
                <w:b/>
                <w:sz w:val="21"/>
              </w:rPr>
              <w:t>本地模型条款命中(TP)/误报(FP)/漏报(FN)</w:t>
            </w:r>
          </w:p>
        </w:tc>
        <w:tc>
          <w:tcPr>
            <w:tcW w:type="dxa" w:w="1234"/>
            <w:vAlign w:val="top"/>
          </w:tcPr>
          <w:p>
            <w:r>
              <w:rPr>
                <w:rFonts w:ascii="Microsoft YaHei" w:hAnsi="Microsoft YaHei" w:eastAsia="Microsoft YaHei"/>
                <w:b/>
                <w:sz w:val="21"/>
              </w:rPr>
              <w:t>第三方条款命中(TP)/误报(FP)/漏报(FN)</w:t>
            </w:r>
          </w:p>
        </w:tc>
        <w:tc>
          <w:tcPr>
            <w:tcW w:type="dxa" w:w="1234"/>
            <w:vAlign w:val="top"/>
          </w:tcPr>
          <w:p>
            <w:r>
              <w:rPr>
                <w:rFonts w:ascii="Microsoft YaHei" w:hAnsi="Microsoft YaHei" w:eastAsia="Microsoft YaHei"/>
                <w:b/>
                <w:sz w:val="21"/>
              </w:rPr>
              <w:t>本地模型风险点命中(TP)/误报(FP)/漏报(FN)</w:t>
            </w:r>
          </w:p>
        </w:tc>
        <w:tc>
          <w:tcPr>
            <w:tcW w:type="dxa" w:w="1234"/>
            <w:vAlign w:val="top"/>
          </w:tcPr>
          <w:p>
            <w:r>
              <w:rPr>
                <w:rFonts w:ascii="Microsoft YaHei" w:hAnsi="Microsoft YaHei" w:eastAsia="Microsoft YaHei"/>
                <w:b/>
                <w:sz w:val="21"/>
              </w:rPr>
              <w:t>第三方风险点命中(TP)/误报(FP)/漏报(FN)</w:t>
            </w:r>
          </w:p>
        </w:tc>
      </w:tr>
      <w:tr>
        <w:tc>
          <w:tcPr>
            <w:tcW w:type="dxa" w:w="1234"/>
            <w:vAlign w:val="top"/>
          </w:tcPr>
          <w:p>
            <w:r>
              <w:rPr>
                <w:rFonts w:ascii="Microsoft YaHei" w:hAnsi="Microsoft YaHei" w:eastAsia="Microsoft YaHei"/>
                <w:sz w:val="21"/>
              </w:rPr>
              <w:t>品牌球馆冠名合作协议</w:t>
            </w:r>
          </w:p>
        </w:tc>
        <w:tc>
          <w:tcPr>
            <w:tcW w:type="dxa" w:w="1234"/>
            <w:vAlign w:val="top"/>
          </w:tcPr>
          <w:p>
            <w:r>
              <w:rPr>
                <w:rFonts w:ascii="Microsoft YaHei" w:hAnsi="Microsoft YaHei" w:eastAsia="Microsoft YaHei"/>
                <w:sz w:val="21"/>
              </w:rPr>
              <w:t>12</w:t>
            </w:r>
          </w:p>
        </w:tc>
        <w:tc>
          <w:tcPr>
            <w:tcW w:type="dxa" w:w="1234"/>
            <w:vAlign w:val="top"/>
          </w:tcPr>
          <w:p>
            <w:r>
              <w:rPr>
                <w:rFonts w:ascii="Microsoft YaHei" w:hAnsi="Microsoft YaHei" w:eastAsia="Microsoft YaHei"/>
                <w:sz w:val="21"/>
              </w:rPr>
              <w:t>11</w:t>
            </w:r>
          </w:p>
        </w:tc>
        <w:tc>
          <w:tcPr>
            <w:tcW w:type="dxa" w:w="1234"/>
            <w:vAlign w:val="top"/>
          </w:tcPr>
          <w:p>
            <w:r>
              <w:rPr>
                <w:rFonts w:ascii="Microsoft YaHei" w:hAnsi="Microsoft YaHei" w:eastAsia="Microsoft YaHei"/>
                <w:sz w:val="21"/>
              </w:rPr>
              <w:t>5/1/6</w:t>
            </w:r>
          </w:p>
        </w:tc>
        <w:tc>
          <w:tcPr>
            <w:tcW w:type="dxa" w:w="1234"/>
            <w:vAlign w:val="top"/>
          </w:tcPr>
          <w:p>
            <w:r>
              <w:rPr>
                <w:rFonts w:ascii="Microsoft YaHei" w:hAnsi="Microsoft YaHei" w:eastAsia="Microsoft YaHei"/>
                <w:sz w:val="21"/>
              </w:rPr>
              <w:t>11/5/0</w:t>
            </w:r>
          </w:p>
        </w:tc>
        <w:tc>
          <w:tcPr>
            <w:tcW w:type="dxa" w:w="1234"/>
            <w:vAlign w:val="top"/>
          </w:tcPr>
          <w:p>
            <w:r>
              <w:rPr>
                <w:rFonts w:ascii="Microsoft YaHei" w:hAnsi="Microsoft YaHei" w:eastAsia="Microsoft YaHei"/>
                <w:sz w:val="21"/>
              </w:rPr>
              <w:t>3/3/8</w:t>
            </w:r>
          </w:p>
        </w:tc>
        <w:tc>
          <w:tcPr>
            <w:tcW w:type="dxa" w:w="1234"/>
            <w:vAlign w:val="top"/>
          </w:tcPr>
          <w:p>
            <w:r>
              <w:rPr>
                <w:rFonts w:ascii="Microsoft YaHei" w:hAnsi="Microsoft YaHei" w:eastAsia="Microsoft YaHei"/>
                <w:sz w:val="21"/>
              </w:rPr>
              <w:t>11/5/0</w:t>
            </w:r>
          </w:p>
        </w:tc>
      </w:tr>
      <w:tr>
        <w:tc>
          <w:tcPr>
            <w:tcW w:type="dxa" w:w="1234"/>
            <w:vAlign w:val="top"/>
          </w:tcPr>
          <w:p>
            <w:r>
              <w:rPr>
                <w:rFonts w:ascii="Microsoft YaHei" w:hAnsi="Microsoft YaHei" w:eastAsia="Microsoft YaHei"/>
                <w:sz w:val="21"/>
              </w:rPr>
              <w:t>服务协议</w:t>
            </w:r>
          </w:p>
        </w:tc>
        <w:tc>
          <w:tcPr>
            <w:tcW w:type="dxa" w:w="1234"/>
            <w:vAlign w:val="top"/>
          </w:tcPr>
          <w:p>
            <w:r>
              <w:rPr>
                <w:rFonts w:ascii="Microsoft YaHei" w:hAnsi="Microsoft YaHei" w:eastAsia="Microsoft YaHei"/>
                <w:sz w:val="21"/>
              </w:rPr>
              <w:t>6</w:t>
            </w:r>
          </w:p>
        </w:tc>
        <w:tc>
          <w:tcPr>
            <w:tcW w:type="dxa" w:w="1234"/>
            <w:vAlign w:val="top"/>
          </w:tcPr>
          <w:p>
            <w:r>
              <w:rPr>
                <w:rFonts w:ascii="Microsoft YaHei" w:hAnsi="Microsoft YaHei" w:eastAsia="Microsoft YaHei"/>
                <w:sz w:val="21"/>
              </w:rPr>
              <w:t>4</w:t>
            </w:r>
          </w:p>
        </w:tc>
        <w:tc>
          <w:tcPr>
            <w:tcW w:type="dxa" w:w="1234"/>
            <w:vAlign w:val="top"/>
          </w:tcPr>
          <w:p>
            <w:r>
              <w:rPr>
                <w:rFonts w:ascii="Microsoft YaHei" w:hAnsi="Microsoft YaHei" w:eastAsia="Microsoft YaHei"/>
                <w:sz w:val="21"/>
              </w:rPr>
              <w:t>2/1/2</w:t>
            </w:r>
          </w:p>
        </w:tc>
        <w:tc>
          <w:tcPr>
            <w:tcW w:type="dxa" w:w="1234"/>
            <w:vAlign w:val="top"/>
          </w:tcPr>
          <w:p>
            <w:r>
              <w:rPr>
                <w:rFonts w:ascii="Microsoft YaHei" w:hAnsi="Microsoft YaHei" w:eastAsia="Microsoft YaHei"/>
                <w:sz w:val="21"/>
              </w:rPr>
              <w:t>4/4/0</w:t>
            </w:r>
          </w:p>
        </w:tc>
        <w:tc>
          <w:tcPr>
            <w:tcW w:type="dxa" w:w="1234"/>
            <w:vAlign w:val="top"/>
          </w:tcPr>
          <w:p>
            <w:r>
              <w:rPr>
                <w:rFonts w:ascii="Microsoft YaHei" w:hAnsi="Microsoft YaHei" w:eastAsia="Microsoft YaHei"/>
                <w:sz w:val="21"/>
              </w:rPr>
              <w:t>2/2/2</w:t>
            </w:r>
          </w:p>
        </w:tc>
        <w:tc>
          <w:tcPr>
            <w:tcW w:type="dxa" w:w="1234"/>
            <w:vAlign w:val="top"/>
          </w:tcPr>
          <w:p>
            <w:r>
              <w:rPr>
                <w:rFonts w:ascii="Microsoft YaHei" w:hAnsi="Microsoft YaHei" w:eastAsia="Microsoft YaHei"/>
                <w:sz w:val="21"/>
              </w:rPr>
              <w:t>4/9/0</w:t>
            </w:r>
          </w:p>
        </w:tc>
      </w:tr>
      <w:tr>
        <w:tc>
          <w:tcPr>
            <w:tcW w:type="dxa" w:w="1234"/>
            <w:vAlign w:val="top"/>
          </w:tcPr>
          <w:p>
            <w:r>
              <w:rPr>
                <w:rFonts w:ascii="Microsoft YaHei" w:hAnsi="Microsoft YaHei" w:eastAsia="Microsoft YaHei"/>
                <w:sz w:val="21"/>
              </w:rPr>
              <w:t>保密协议</w:t>
            </w:r>
          </w:p>
        </w:tc>
        <w:tc>
          <w:tcPr>
            <w:tcW w:type="dxa" w:w="1234"/>
            <w:vAlign w:val="top"/>
          </w:tcPr>
          <w:p>
            <w:r>
              <w:rPr>
                <w:rFonts w:ascii="Microsoft YaHei" w:hAnsi="Microsoft YaHei" w:eastAsia="Microsoft YaHei"/>
                <w:sz w:val="21"/>
              </w:rPr>
              <w:t>3</w:t>
            </w:r>
          </w:p>
        </w:tc>
        <w:tc>
          <w:tcPr>
            <w:tcW w:type="dxa" w:w="1234"/>
            <w:vAlign w:val="top"/>
          </w:tcPr>
          <w:p>
            <w:r>
              <w:rPr>
                <w:rFonts w:ascii="Microsoft YaHei" w:hAnsi="Microsoft YaHei" w:eastAsia="Microsoft YaHei"/>
                <w:sz w:val="21"/>
              </w:rPr>
              <w:t>3</w:t>
            </w:r>
          </w:p>
        </w:tc>
        <w:tc>
          <w:tcPr>
            <w:tcW w:type="dxa" w:w="1234"/>
            <w:vAlign w:val="top"/>
          </w:tcPr>
          <w:p>
            <w:r>
              <w:rPr>
                <w:rFonts w:ascii="Microsoft YaHei" w:hAnsi="Microsoft YaHei" w:eastAsia="Microsoft YaHei"/>
                <w:sz w:val="21"/>
              </w:rPr>
              <w:t>1/3/2</w:t>
            </w:r>
          </w:p>
        </w:tc>
        <w:tc>
          <w:tcPr>
            <w:tcW w:type="dxa" w:w="1234"/>
            <w:vAlign w:val="top"/>
          </w:tcPr>
          <w:p>
            <w:r>
              <w:rPr>
                <w:rFonts w:ascii="Microsoft YaHei" w:hAnsi="Microsoft YaHei" w:eastAsia="Microsoft YaHei"/>
                <w:sz w:val="21"/>
              </w:rPr>
              <w:t>3/2/0</w:t>
            </w:r>
          </w:p>
        </w:tc>
        <w:tc>
          <w:tcPr>
            <w:tcW w:type="dxa" w:w="1234"/>
            <w:vAlign w:val="top"/>
          </w:tcPr>
          <w:p>
            <w:r>
              <w:rPr>
                <w:rFonts w:ascii="Microsoft YaHei" w:hAnsi="Microsoft YaHei" w:eastAsia="Microsoft YaHei"/>
                <w:sz w:val="21"/>
              </w:rPr>
              <w:t>0/4/3</w:t>
            </w:r>
          </w:p>
        </w:tc>
        <w:tc>
          <w:tcPr>
            <w:tcW w:type="dxa" w:w="1234"/>
            <w:vAlign w:val="top"/>
          </w:tcPr>
          <w:p>
            <w:r>
              <w:rPr>
                <w:rFonts w:ascii="Microsoft YaHei" w:hAnsi="Microsoft YaHei" w:eastAsia="Microsoft YaHei"/>
                <w:sz w:val="21"/>
              </w:rPr>
              <w:t>3/3/0</w:t>
            </w:r>
          </w:p>
        </w:tc>
      </w:tr>
      <w:tr>
        <w:tc>
          <w:tcPr>
            <w:tcW w:type="dxa" w:w="1234"/>
            <w:vAlign w:val="top"/>
          </w:tcPr>
          <w:p>
            <w:r>
              <w:rPr>
                <w:rFonts w:ascii="Microsoft YaHei" w:hAnsi="Microsoft YaHei" w:eastAsia="Microsoft YaHei"/>
                <w:sz w:val="21"/>
              </w:rPr>
              <w:t>总和</w:t>
            </w:r>
          </w:p>
        </w:tc>
        <w:tc>
          <w:tcPr>
            <w:tcW w:type="dxa" w:w="1234"/>
            <w:vAlign w:val="top"/>
          </w:tcPr>
          <w:p>
            <w:r>
              <w:rPr>
                <w:rFonts w:ascii="Microsoft YaHei" w:hAnsi="Microsoft YaHei" w:eastAsia="Microsoft YaHei"/>
                <w:sz w:val="21"/>
              </w:rPr>
              <w:t>21</w:t>
            </w:r>
          </w:p>
        </w:tc>
        <w:tc>
          <w:tcPr>
            <w:tcW w:type="dxa" w:w="1234"/>
            <w:vAlign w:val="top"/>
          </w:tcPr>
          <w:p>
            <w:r>
              <w:rPr>
                <w:rFonts w:ascii="Microsoft YaHei" w:hAnsi="Microsoft YaHei" w:eastAsia="Microsoft YaHei"/>
                <w:sz w:val="21"/>
              </w:rPr>
              <w:t>18</w:t>
            </w:r>
          </w:p>
        </w:tc>
        <w:tc>
          <w:tcPr>
            <w:tcW w:type="dxa" w:w="1234"/>
            <w:vAlign w:val="top"/>
          </w:tcPr>
          <w:p>
            <w:r>
              <w:rPr>
                <w:rFonts w:ascii="Microsoft YaHei" w:hAnsi="Microsoft YaHei" w:eastAsia="Microsoft YaHei"/>
                <w:sz w:val="21"/>
              </w:rPr>
              <w:t>8/5/10</w:t>
            </w:r>
          </w:p>
        </w:tc>
        <w:tc>
          <w:tcPr>
            <w:tcW w:type="dxa" w:w="1234"/>
            <w:vAlign w:val="top"/>
          </w:tcPr>
          <w:p>
            <w:r>
              <w:rPr>
                <w:rFonts w:ascii="Microsoft YaHei" w:hAnsi="Microsoft YaHei" w:eastAsia="Microsoft YaHei"/>
                <w:sz w:val="21"/>
              </w:rPr>
              <w:t>18/11/0</w:t>
            </w:r>
          </w:p>
        </w:tc>
        <w:tc>
          <w:tcPr>
            <w:tcW w:type="dxa" w:w="1234"/>
            <w:vAlign w:val="top"/>
          </w:tcPr>
          <w:p>
            <w:r>
              <w:rPr>
                <w:rFonts w:ascii="Microsoft YaHei" w:hAnsi="Microsoft YaHei" w:eastAsia="Microsoft YaHei"/>
                <w:sz w:val="21"/>
              </w:rPr>
              <w:t>5/9/13</w:t>
            </w:r>
          </w:p>
        </w:tc>
        <w:tc>
          <w:tcPr>
            <w:tcW w:type="dxa" w:w="1234"/>
            <w:vAlign w:val="top"/>
          </w:tcPr>
          <w:p>
            <w:r>
              <w:rPr>
                <w:rFonts w:ascii="Microsoft YaHei" w:hAnsi="Microsoft YaHei" w:eastAsia="Microsoft YaHei"/>
                <w:sz w:val="21"/>
              </w:rPr>
              <w:t>18/17/0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vAlign w:val="top"/>
          </w:tcPr>
          <w:p>
            <w:r>
              <w:rPr>
                <w:rFonts w:ascii="Microsoft YaHei" w:hAnsi="Microsoft YaHei" w:eastAsia="Microsoft YaHei"/>
                <w:b/>
                <w:sz w:val="21"/>
              </w:rPr>
              <w:t>合同（表二）</w:t>
            </w:r>
          </w:p>
        </w:tc>
        <w:tc>
          <w:tcPr>
            <w:tcW w:type="dxa" w:w="1234"/>
            <w:vAlign w:val="top"/>
          </w:tcPr>
          <w:p>
            <w:r>
              <w:rPr>
                <w:rFonts w:ascii="Microsoft YaHei" w:hAnsi="Microsoft YaHei" w:eastAsia="Microsoft YaHei"/>
                <w:b/>
                <w:sz w:val="21"/>
              </w:rPr>
              <w:t>采纳情况说明的标签</w:t>
            </w:r>
          </w:p>
        </w:tc>
        <w:tc>
          <w:tcPr>
            <w:tcW w:type="dxa" w:w="1234"/>
            <w:vAlign w:val="top"/>
          </w:tcPr>
          <w:p>
            <w:r>
              <w:rPr>
                <w:rFonts w:ascii="Microsoft YaHei" w:hAnsi="Microsoft YaHei" w:eastAsia="Microsoft YaHei"/>
                <w:b/>
                <w:sz w:val="21"/>
              </w:rPr>
              <w:t>提取出的测量标签</w:t>
            </w:r>
          </w:p>
        </w:tc>
        <w:tc>
          <w:tcPr>
            <w:tcW w:type="dxa" w:w="1234"/>
            <w:vAlign w:val="top"/>
          </w:tcPr>
          <w:p>
            <w:r>
              <w:rPr>
                <w:rFonts w:ascii="Microsoft YaHei" w:hAnsi="Microsoft YaHei" w:eastAsia="Microsoft YaHei"/>
                <w:b/>
                <w:sz w:val="21"/>
              </w:rPr>
              <w:t>本地模型条款命中(TP)/误报(FP)/漏报(FN)</w:t>
            </w:r>
          </w:p>
        </w:tc>
        <w:tc>
          <w:tcPr>
            <w:tcW w:type="dxa" w:w="1234"/>
            <w:vAlign w:val="top"/>
          </w:tcPr>
          <w:p>
            <w:r>
              <w:rPr>
                <w:rFonts w:ascii="Microsoft YaHei" w:hAnsi="Microsoft YaHei" w:eastAsia="Microsoft YaHei"/>
                <w:b/>
                <w:sz w:val="21"/>
              </w:rPr>
              <w:t>第三方条款命中(TP)/误报(FP)/漏报(FN)</w:t>
            </w:r>
          </w:p>
        </w:tc>
        <w:tc>
          <w:tcPr>
            <w:tcW w:type="dxa" w:w="1234"/>
            <w:vAlign w:val="top"/>
          </w:tcPr>
          <w:p>
            <w:r>
              <w:rPr>
                <w:rFonts w:ascii="Microsoft YaHei" w:hAnsi="Microsoft YaHei" w:eastAsia="Microsoft YaHei"/>
                <w:b/>
                <w:sz w:val="21"/>
              </w:rPr>
              <w:t>本地模型风险点命中(TP)/误报(FP)/漏报(FN)</w:t>
            </w:r>
          </w:p>
        </w:tc>
        <w:tc>
          <w:tcPr>
            <w:tcW w:type="dxa" w:w="1234"/>
            <w:vAlign w:val="top"/>
          </w:tcPr>
          <w:p>
            <w:r>
              <w:rPr>
                <w:rFonts w:ascii="Microsoft YaHei" w:hAnsi="Microsoft YaHei" w:eastAsia="Microsoft YaHei"/>
                <w:b/>
                <w:sz w:val="21"/>
              </w:rPr>
              <w:t>第三方风险点命中(TP)/误报(FP)/漏报(FN)</w:t>
            </w:r>
          </w:p>
        </w:tc>
      </w:tr>
      <w:tr>
        <w:tc>
          <w:tcPr>
            <w:tcW w:type="dxa" w:w="1234"/>
            <w:vAlign w:val="top"/>
          </w:tcPr>
          <w:p>
            <w:r>
              <w:rPr>
                <w:rFonts w:ascii="Microsoft YaHei" w:hAnsi="Microsoft YaHei" w:eastAsia="Microsoft YaHei"/>
                <w:sz w:val="21"/>
              </w:rPr>
              <w:t>品牌球馆冠名合作协议</w:t>
            </w:r>
          </w:p>
        </w:tc>
        <w:tc>
          <w:tcPr>
            <w:tcW w:type="dxa" w:w="1234"/>
            <w:vAlign w:val="top"/>
          </w:tcPr>
          <w:p>
            <w:r>
              <w:rPr>
                <w:rFonts w:ascii="Microsoft YaHei" w:hAnsi="Microsoft YaHei" w:eastAsia="Microsoft YaHei"/>
                <w:sz w:val="21"/>
              </w:rPr>
              <w:t>20</w:t>
            </w:r>
          </w:p>
        </w:tc>
        <w:tc>
          <w:tcPr>
            <w:tcW w:type="dxa" w:w="1234"/>
            <w:vAlign w:val="top"/>
          </w:tcPr>
          <w:p>
            <w:r>
              <w:rPr>
                <w:rFonts w:ascii="Microsoft YaHei" w:hAnsi="Microsoft YaHei" w:eastAsia="Microsoft YaHei"/>
                <w:sz w:val="21"/>
              </w:rPr>
              <w:t>17</w:t>
            </w:r>
          </w:p>
        </w:tc>
        <w:tc>
          <w:tcPr>
            <w:tcW w:type="dxa" w:w="1234"/>
            <w:vAlign w:val="top"/>
          </w:tcPr>
          <w:p>
            <w:r>
              <w:rPr>
                <w:rFonts w:ascii="Microsoft YaHei" w:hAnsi="Microsoft YaHei" w:eastAsia="Microsoft YaHei"/>
                <w:sz w:val="21"/>
              </w:rPr>
              <w:t>6/0/10</w:t>
            </w:r>
          </w:p>
        </w:tc>
        <w:tc>
          <w:tcPr>
            <w:tcW w:type="dxa" w:w="1234"/>
            <w:vAlign w:val="top"/>
          </w:tcPr>
          <w:p>
            <w:r>
              <w:rPr>
                <w:rFonts w:ascii="Microsoft YaHei" w:hAnsi="Microsoft YaHei" w:eastAsia="Microsoft YaHei"/>
                <w:sz w:val="21"/>
              </w:rPr>
              <w:t>16/0/0</w:t>
            </w:r>
          </w:p>
        </w:tc>
        <w:tc>
          <w:tcPr>
            <w:tcW w:type="dxa" w:w="1234"/>
            <w:vAlign w:val="top"/>
          </w:tcPr>
          <w:p>
            <w:r>
              <w:rPr>
                <w:rFonts w:ascii="Microsoft YaHei" w:hAnsi="Microsoft YaHei" w:eastAsia="Microsoft YaHei"/>
                <w:sz w:val="21"/>
              </w:rPr>
              <w:t>4/2/13</w:t>
            </w:r>
          </w:p>
        </w:tc>
        <w:tc>
          <w:tcPr>
            <w:tcW w:type="dxa" w:w="1234"/>
            <w:vAlign w:val="top"/>
          </w:tcPr>
          <w:p>
            <w:r>
              <w:rPr>
                <w:rFonts w:ascii="Microsoft YaHei" w:hAnsi="Microsoft YaHei" w:eastAsia="Microsoft YaHei"/>
                <w:sz w:val="21"/>
              </w:rPr>
              <w:t>16/0/1</w:t>
            </w:r>
          </w:p>
        </w:tc>
      </w:tr>
      <w:tr>
        <w:tc>
          <w:tcPr>
            <w:tcW w:type="dxa" w:w="1234"/>
            <w:vAlign w:val="top"/>
          </w:tcPr>
          <w:p>
            <w:r>
              <w:rPr>
                <w:rFonts w:ascii="Microsoft YaHei" w:hAnsi="Microsoft YaHei" w:eastAsia="Microsoft YaHei"/>
                <w:sz w:val="21"/>
              </w:rPr>
              <w:t>服务协议</w:t>
            </w:r>
          </w:p>
        </w:tc>
        <w:tc>
          <w:tcPr>
            <w:tcW w:type="dxa" w:w="1234"/>
            <w:vAlign w:val="top"/>
          </w:tcPr>
          <w:p>
            <w:r>
              <w:rPr>
                <w:rFonts w:ascii="Microsoft YaHei" w:hAnsi="Microsoft YaHei" w:eastAsia="Microsoft YaHei"/>
                <w:sz w:val="21"/>
              </w:rPr>
              <w:t>14</w:t>
            </w:r>
          </w:p>
        </w:tc>
        <w:tc>
          <w:tcPr>
            <w:tcW w:type="dxa" w:w="1234"/>
            <w:vAlign w:val="top"/>
          </w:tcPr>
          <w:p>
            <w:r>
              <w:rPr>
                <w:rFonts w:ascii="Microsoft YaHei" w:hAnsi="Microsoft YaHei" w:eastAsia="Microsoft YaHei"/>
                <w:sz w:val="21"/>
              </w:rPr>
              <w:t>10</w:t>
            </w:r>
          </w:p>
        </w:tc>
        <w:tc>
          <w:tcPr>
            <w:tcW w:type="dxa" w:w="1234"/>
            <w:vAlign w:val="top"/>
          </w:tcPr>
          <w:p>
            <w:r>
              <w:rPr>
                <w:rFonts w:ascii="Microsoft YaHei" w:hAnsi="Microsoft YaHei" w:eastAsia="Microsoft YaHei"/>
                <w:sz w:val="21"/>
              </w:rPr>
              <w:t>3/0/5</w:t>
            </w:r>
          </w:p>
        </w:tc>
        <w:tc>
          <w:tcPr>
            <w:tcW w:type="dxa" w:w="1234"/>
            <w:vAlign w:val="top"/>
          </w:tcPr>
          <w:p>
            <w:r>
              <w:rPr>
                <w:rFonts w:ascii="Microsoft YaHei" w:hAnsi="Microsoft YaHei" w:eastAsia="Microsoft YaHei"/>
                <w:sz w:val="21"/>
              </w:rPr>
              <w:t>8/0/0</w:t>
            </w:r>
          </w:p>
        </w:tc>
        <w:tc>
          <w:tcPr>
            <w:tcW w:type="dxa" w:w="1234"/>
            <w:vAlign w:val="top"/>
          </w:tcPr>
          <w:p>
            <w:r>
              <w:rPr>
                <w:rFonts w:ascii="Microsoft YaHei" w:hAnsi="Microsoft YaHei" w:eastAsia="Microsoft YaHei"/>
                <w:sz w:val="21"/>
              </w:rPr>
              <w:t>3/1/7</w:t>
            </w:r>
          </w:p>
        </w:tc>
        <w:tc>
          <w:tcPr>
            <w:tcW w:type="dxa" w:w="1234"/>
            <w:vAlign w:val="top"/>
          </w:tcPr>
          <w:p>
            <w:r>
              <w:rPr>
                <w:rFonts w:ascii="Microsoft YaHei" w:hAnsi="Microsoft YaHei" w:eastAsia="Microsoft YaHei"/>
                <w:sz w:val="21"/>
              </w:rPr>
              <w:t>10/3/0</w:t>
            </w:r>
          </w:p>
        </w:tc>
      </w:tr>
      <w:tr>
        <w:tc>
          <w:tcPr>
            <w:tcW w:type="dxa" w:w="1234"/>
            <w:vAlign w:val="top"/>
          </w:tcPr>
          <w:p>
            <w:r>
              <w:rPr>
                <w:rFonts w:ascii="Microsoft YaHei" w:hAnsi="Microsoft YaHei" w:eastAsia="Microsoft YaHei"/>
                <w:sz w:val="21"/>
              </w:rPr>
              <w:t>保密协议</w:t>
            </w:r>
          </w:p>
        </w:tc>
        <w:tc>
          <w:tcPr>
            <w:tcW w:type="dxa" w:w="1234"/>
            <w:vAlign w:val="top"/>
          </w:tcPr>
          <w:p>
            <w:r>
              <w:rPr>
                <w:rFonts w:ascii="Microsoft YaHei" w:hAnsi="Microsoft YaHei" w:eastAsia="Microsoft YaHei"/>
                <w:sz w:val="21"/>
              </w:rPr>
              <w:t>6</w:t>
            </w:r>
          </w:p>
        </w:tc>
        <w:tc>
          <w:tcPr>
            <w:tcW w:type="dxa" w:w="1234"/>
            <w:vAlign w:val="top"/>
          </w:tcPr>
          <w:p>
            <w:r>
              <w:rPr>
                <w:rFonts w:ascii="Microsoft YaHei" w:hAnsi="Microsoft YaHei" w:eastAsia="Microsoft YaHei"/>
                <w:sz w:val="21"/>
              </w:rPr>
              <w:t>6</w:t>
            </w:r>
          </w:p>
        </w:tc>
        <w:tc>
          <w:tcPr>
            <w:tcW w:type="dxa" w:w="1234"/>
            <w:vAlign w:val="top"/>
          </w:tcPr>
          <w:p>
            <w:r>
              <w:rPr>
                <w:rFonts w:ascii="Microsoft YaHei" w:hAnsi="Microsoft YaHei" w:eastAsia="Microsoft YaHei"/>
                <w:sz w:val="21"/>
              </w:rPr>
              <w:t>2/2/3</w:t>
            </w:r>
          </w:p>
        </w:tc>
        <w:tc>
          <w:tcPr>
            <w:tcW w:type="dxa" w:w="1234"/>
            <w:vAlign w:val="top"/>
          </w:tcPr>
          <w:p>
            <w:r>
              <w:rPr>
                <w:rFonts w:ascii="Microsoft YaHei" w:hAnsi="Microsoft YaHei" w:eastAsia="Microsoft YaHei"/>
                <w:sz w:val="21"/>
              </w:rPr>
              <w:t>5/0/0</w:t>
            </w:r>
          </w:p>
        </w:tc>
        <w:tc>
          <w:tcPr>
            <w:tcW w:type="dxa" w:w="1234"/>
            <w:vAlign w:val="top"/>
          </w:tcPr>
          <w:p>
            <w:r>
              <w:rPr>
                <w:rFonts w:ascii="Microsoft YaHei" w:hAnsi="Microsoft YaHei" w:eastAsia="Microsoft YaHei"/>
                <w:sz w:val="21"/>
              </w:rPr>
              <w:t>2/2/4</w:t>
            </w:r>
          </w:p>
        </w:tc>
        <w:tc>
          <w:tcPr>
            <w:tcW w:type="dxa" w:w="1234"/>
            <w:vAlign w:val="top"/>
          </w:tcPr>
          <w:p>
            <w:r>
              <w:rPr>
                <w:rFonts w:ascii="Microsoft YaHei" w:hAnsi="Microsoft YaHei" w:eastAsia="Microsoft YaHei"/>
                <w:sz w:val="21"/>
              </w:rPr>
              <w:t>6/0/0</w:t>
            </w:r>
          </w:p>
        </w:tc>
      </w:tr>
      <w:tr>
        <w:tc>
          <w:tcPr>
            <w:tcW w:type="dxa" w:w="1234"/>
            <w:vAlign w:val="top"/>
          </w:tcPr>
          <w:p>
            <w:r>
              <w:rPr>
                <w:rFonts w:ascii="Microsoft YaHei" w:hAnsi="Microsoft YaHei" w:eastAsia="Microsoft YaHei"/>
                <w:sz w:val="21"/>
              </w:rPr>
              <w:t>总和</w:t>
            </w:r>
          </w:p>
        </w:tc>
        <w:tc>
          <w:tcPr>
            <w:tcW w:type="dxa" w:w="1234"/>
            <w:vAlign w:val="top"/>
          </w:tcPr>
          <w:p>
            <w:r>
              <w:rPr>
                <w:rFonts w:ascii="Microsoft YaHei" w:hAnsi="Microsoft YaHei" w:eastAsia="Microsoft YaHei"/>
                <w:sz w:val="21"/>
              </w:rPr>
              <w:t>40</w:t>
            </w:r>
          </w:p>
        </w:tc>
        <w:tc>
          <w:tcPr>
            <w:tcW w:type="dxa" w:w="1234"/>
            <w:vAlign w:val="top"/>
          </w:tcPr>
          <w:p>
            <w:r>
              <w:rPr>
                <w:rFonts w:ascii="Microsoft YaHei" w:hAnsi="Microsoft YaHei" w:eastAsia="Microsoft YaHei"/>
                <w:sz w:val="21"/>
              </w:rPr>
              <w:t>33</w:t>
            </w:r>
          </w:p>
        </w:tc>
        <w:tc>
          <w:tcPr>
            <w:tcW w:type="dxa" w:w="1234"/>
            <w:vAlign w:val="top"/>
          </w:tcPr>
          <w:p>
            <w:r>
              <w:rPr>
                <w:rFonts w:ascii="Microsoft YaHei" w:hAnsi="Microsoft YaHei" w:eastAsia="Microsoft YaHei"/>
                <w:sz w:val="21"/>
              </w:rPr>
              <w:t>11/2/18</w:t>
            </w:r>
          </w:p>
        </w:tc>
        <w:tc>
          <w:tcPr>
            <w:tcW w:type="dxa" w:w="1234"/>
            <w:vAlign w:val="top"/>
          </w:tcPr>
          <w:p>
            <w:r>
              <w:rPr>
                <w:rFonts w:ascii="Microsoft YaHei" w:hAnsi="Microsoft YaHei" w:eastAsia="Microsoft YaHei"/>
                <w:sz w:val="21"/>
              </w:rPr>
              <w:t>29/0/0</w:t>
            </w:r>
          </w:p>
        </w:tc>
        <w:tc>
          <w:tcPr>
            <w:tcW w:type="dxa" w:w="1234"/>
            <w:vAlign w:val="top"/>
          </w:tcPr>
          <w:p>
            <w:r>
              <w:rPr>
                <w:rFonts w:ascii="Microsoft YaHei" w:hAnsi="Microsoft YaHei" w:eastAsia="Microsoft YaHei"/>
                <w:sz w:val="21"/>
              </w:rPr>
              <w:t>9/5/24</w:t>
            </w:r>
          </w:p>
        </w:tc>
        <w:tc>
          <w:tcPr>
            <w:tcW w:type="dxa" w:w="1234"/>
            <w:vAlign w:val="top"/>
          </w:tcPr>
          <w:p>
            <w:r>
              <w:rPr>
                <w:rFonts w:ascii="Microsoft YaHei" w:hAnsi="Microsoft YaHei" w:eastAsia="Microsoft YaHei"/>
                <w:sz w:val="21"/>
              </w:rPr>
              <w:t>32/3/1</w:t>
            </w:r>
          </w:p>
        </w:tc>
      </w:tr>
    </w:tbl>
    <w:p>
      <w:pPr>
        <w:pStyle w:val="Heading3"/>
      </w:pPr>
      <w:r>
        <w:rPr>
          <w:rFonts w:ascii="Microsoft YaHei" w:hAnsi="Microsoft YaHei" w:eastAsia="Microsoft YaHei"/>
          <w:b w:val="0"/>
          <w:sz w:val="21"/>
        </w:rPr>
        <w:t>文本示例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vAlign w:val="top"/>
          </w:tcPr>
          <w:p>
            <w:r>
              <w:rPr>
                <w:rFonts w:ascii="Microsoft YaHei" w:hAnsi="Microsoft YaHei" w:eastAsia="Microsoft YaHei"/>
                <w:sz w:val="21"/>
              </w:rPr>
              <w:t>状态</w:t>
            </w:r>
          </w:p>
        </w:tc>
        <w:tc>
          <w:tcPr>
            <w:tcW w:type="dxa" w:w="1440"/>
            <w:vAlign w:val="top"/>
          </w:tcPr>
          <w:p>
            <w:r>
              <w:rPr>
                <w:rFonts w:ascii="Microsoft YaHei" w:hAnsi="Microsoft YaHei" w:eastAsia="Microsoft YaHei"/>
                <w:sz w:val="21"/>
              </w:rPr>
              <w:t>条款_id</w:t>
            </w:r>
          </w:p>
        </w:tc>
        <w:tc>
          <w:tcPr>
            <w:tcW w:type="dxa" w:w="1440"/>
            <w:vAlign w:val="top"/>
          </w:tcPr>
          <w:p>
            <w:r>
              <w:rPr>
                <w:rFonts w:ascii="Microsoft YaHei" w:hAnsi="Microsoft YaHei" w:eastAsia="Microsoft YaHei"/>
                <w:sz w:val="21"/>
              </w:rPr>
              <w:t>原文条款</w:t>
            </w:r>
          </w:p>
        </w:tc>
        <w:tc>
          <w:tcPr>
            <w:tcW w:type="dxa" w:w="1440"/>
            <w:vAlign w:val="top"/>
          </w:tcPr>
          <w:p>
            <w:r>
              <w:rPr>
                <w:rFonts w:ascii="Microsoft YaHei" w:hAnsi="Microsoft YaHei" w:eastAsia="Microsoft YaHei"/>
                <w:sz w:val="21"/>
              </w:rPr>
              <w:t>本地模型输出</w:t>
            </w:r>
          </w:p>
        </w:tc>
        <w:tc>
          <w:tcPr>
            <w:tcW w:type="dxa" w:w="1440"/>
            <w:vAlign w:val="top"/>
          </w:tcPr>
          <w:p>
            <w:r>
              <w:rPr>
                <w:rFonts w:ascii="Microsoft YaHei" w:hAnsi="Microsoft YaHei" w:eastAsia="Microsoft YaHei"/>
                <w:sz w:val="21"/>
              </w:rPr>
              <w:t>第三方平台输出</w:t>
            </w:r>
          </w:p>
        </w:tc>
        <w:tc>
          <w:tcPr>
            <w:tcW w:type="dxa" w:w="1440"/>
            <w:vAlign w:val="top"/>
          </w:tcPr>
          <w:p>
            <w:r>
              <w:rPr>
                <w:rFonts w:ascii="Microsoft YaHei" w:hAnsi="Microsoft YaHei" w:eastAsia="Microsoft YaHei"/>
                <w:sz w:val="21"/>
              </w:rPr>
              <w:t>采纳说明（标签）</w:t>
            </w:r>
          </w:p>
        </w:tc>
      </w:tr>
      <w:tr>
        <w:tc>
          <w:tcPr>
            <w:tcW w:type="dxa" w:w="1440"/>
            <w:vAlign w:val="top"/>
          </w:tcPr>
          <w:p>
            <w:r>
              <w:rPr>
                <w:rFonts w:ascii="Microsoft YaHei" w:hAnsi="Microsoft YaHei" w:eastAsia="Microsoft YaHei"/>
                <w:sz w:val="21"/>
              </w:rPr>
              <w:t>命中(TP)</w:t>
            </w:r>
          </w:p>
        </w:tc>
        <w:tc>
          <w:tcPr>
            <w:tcW w:type="dxa" w:w="1440"/>
            <w:vAlign w:val="top"/>
          </w:tcPr>
          <w:p>
            <w:r>
              <w:rPr>
                <w:rFonts w:ascii="Microsoft YaHei" w:hAnsi="Microsoft YaHei" w:eastAsia="Microsoft YaHei"/>
                <w:sz w:val="21"/>
              </w:rPr>
              <w:t>1-品牌球馆冠名合作协议_c030</w:t>
            </w:r>
          </w:p>
        </w:tc>
        <w:tc>
          <w:tcPr>
            <w:tcW w:type="dxa" w:w="1440"/>
            <w:vAlign w:val="top"/>
          </w:tcPr>
          <w:p>
            <w:r>
              <w:rPr>
                <w:rFonts w:ascii="Microsoft YaHei" w:hAnsi="Microsoft YaHei" w:eastAsia="Microsoft YaHei"/>
                <w:sz w:val="21"/>
              </w:rPr>
              <w:t>本协议履行过程中发生的任何争议，双方应首先友好协商解决；协商不成的，任何一方均有权向乙方球馆所在地人民法院提起诉讼。</w:t>
            </w:r>
          </w:p>
        </w:tc>
        <w:tc>
          <w:tcPr>
            <w:tcW w:type="dxa" w:w="1440"/>
            <w:vAlign w:val="top"/>
          </w:tcPr>
          <w:p>
            <w:r>
              <w:rPr>
                <w:rFonts w:ascii="Microsoft YaHei" w:hAnsi="Microsoft YaHei" w:eastAsia="Microsoft YaHei"/>
                <w:sz w:val="21"/>
              </w:rPr>
              <w:t>1. 标题：争议解决管辖对甲方不利说明：约定管辖法院为乙方所在地，若乙方所在地与甲方（深圳）不一致，甲方维权将面临较高的异地诉讼成本（差旅、时间等），且可能存在地方保护主义风险。建议：建议修改为“向甲方所在地人民法院提起诉讼”或“向原告所在地人民法院提起诉讼”，以降低甲方维权成本。</w:t>
            </w:r>
          </w:p>
        </w:tc>
        <w:tc>
          <w:tcPr>
            <w:tcW w:type="dxa" w:w="1440"/>
            <w:vAlign w:val="top"/>
          </w:tcPr>
          <w:p>
            <w:r>
              <w:rPr>
                <w:rFonts w:ascii="Microsoft YaHei" w:hAnsi="Microsoft YaHei" w:eastAsia="Microsoft YaHei"/>
                <w:sz w:val="21"/>
              </w:rPr>
              <w:t>1. 标题：争议管辖对我方不利说明：原条款约定由乙方球馆所在地法院管辖，若发生争议将增加我方诉讼成本和不便。修改为甲方联系地址所在地法院管辖，有利于降低我方维权成本，提高诉讼效率。建议：本协议履行过程中发生的任何争议，双方应首先友好协商解决；协商不成的，任何一方均有权向乙甲方球馆联系地址所在地有管辖权的人民法院提起诉讼。</w:t>
            </w:r>
          </w:p>
        </w:tc>
        <w:tc>
          <w:tcPr>
            <w:tcW w:type="dxa" w:w="1440"/>
            <w:vAlign w:val="top"/>
          </w:tcPr>
          <w:p>
            <w:r>
              <w:rPr>
                <w:rFonts w:ascii="Microsoft YaHei" w:hAnsi="Microsoft YaHei" w:eastAsia="Microsoft YaHei"/>
                <w:sz w:val="21"/>
              </w:rPr>
              <w:t>1. 标题：争议管辖对我方不利【批注#17/段落158/作者曾梅梅: 采纳 原因：我方为甲方，管辖地一般约定在甲方处。】建议：本协议履行过程中发生的任何争议，双方应首先友好协商解决；协商不成的，任何一方均有权向 ~~乙~~ 甲方 ~~球馆~~ 联系地址所在地有管辖权的人民法院提起诉讼。采纳状态：采纳采纳原因：我方为甲方，管辖地一般约定在甲方处。</w:t>
            </w:r>
          </w:p>
        </w:tc>
      </w:tr>
      <w:tr>
        <w:tc>
          <w:tcPr>
            <w:tcW w:type="dxa" w:w="1440"/>
            <w:vAlign w:val="top"/>
          </w:tcPr>
          <w:p>
            <w:r>
              <w:rPr>
                <w:rFonts w:ascii="Microsoft YaHei" w:hAnsi="Microsoft YaHei" w:eastAsia="Microsoft YaHei"/>
                <w:sz w:val="21"/>
              </w:rPr>
              <w:t>误报(FP)</w:t>
            </w:r>
          </w:p>
        </w:tc>
        <w:tc>
          <w:tcPr>
            <w:tcW w:type="dxa" w:w="1440"/>
            <w:vAlign w:val="top"/>
          </w:tcPr>
          <w:p>
            <w:r>
              <w:rPr>
                <w:rFonts w:ascii="Microsoft YaHei" w:hAnsi="Microsoft YaHei" w:eastAsia="Microsoft YaHei"/>
                <w:sz w:val="21"/>
              </w:rPr>
              <w:t>1-品牌球馆冠名合作协议_c004</w:t>
            </w:r>
          </w:p>
        </w:tc>
        <w:tc>
          <w:tcPr>
            <w:tcW w:type="dxa" w:w="1440"/>
            <w:vAlign w:val="top"/>
          </w:tcPr>
          <w:p>
            <w:r>
              <w:rPr>
                <w:rFonts w:ascii="Microsoft YaHei" w:hAnsi="Microsoft YaHei" w:eastAsia="Microsoft YaHei"/>
                <w:sz w:val="21"/>
              </w:rPr>
              <w:t>3. 合作期限：自2026年1月20日起至2028年1月20日止，共计2年。合作期限届满前30日，双方可协商续约事宜，同等条件下甲方享有优先续约权。</w:t>
            </w:r>
          </w:p>
        </w:tc>
        <w:tc>
          <w:tcPr>
            <w:tcW w:type="dxa" w:w="1440"/>
            <w:vAlign w:val="top"/>
          </w:tcPr>
          <w:p>
            <w:r>
              <w:rPr>
                <w:rFonts w:ascii="Microsoft YaHei" w:hAnsi="Microsoft YaHei" w:eastAsia="Microsoft YaHei"/>
                <w:sz w:val="21"/>
              </w:rPr>
              <w:t>1. 标题：赞助物资质保期覆盖不足说明：合作期限为 2 年，但核心物资质保期仅 12 个月。第二年若出现非人为质量问题，维修责任及费用归属不明，易产生纠纷。建议：建议将核心物资质保期延长至覆盖整个合作期限（2 年），或明确约定质保期外的维修费用承担方式（如甲方成本价提供配件）。</w:t>
            </w:r>
          </w:p>
        </w:tc>
        <w:tc>
          <w:tcPr>
            <w:tcW w:type="dxa" w:w="1440"/>
            <w:vAlign w:val="top"/>
          </w:tcPr>
          <w:p>
            <w:r>
              <w:rPr>
                <w:rFonts w:ascii="Microsoft YaHei" w:hAnsi="Microsoft YaHei" w:eastAsia="Microsoft YaHei"/>
                <w:sz w:val="21"/>
              </w:rPr>
              <w:t>1. 标题：续约权义务及条件表述不明确说明：原条款未明确乙方的主动通知义务，且优先权不具排他性，存在乙方绕开甲方与第三方提前合作的风险。同时，“同等条件”标准不明确，可能导致续约时双方对条件认定产生争议。修改后明确乙方需主动书面征询，甲方享有排他性优先权，并建议补充“同等条件”的具体标准或认定机制，以保障甲方后续合作选择权，防止乙方规避优先权。建议：合作期限：自2026年1月20日起至2028年1月20日止，共计2年。合作期限届满前30日，双乙方可协商需主动向甲方发出书面续约事宜，征询通知；同等条件下甲方享有排他性优先续约权，乙方不得在未征询甲方意见的前提下与第三方洽谈任何同类冠名或品牌合作事宜。建议补充明确“同等条件”的具体标准或认定机制，以避免续约时双方对条件认定产生争议。</w:t>
            </w:r>
          </w:p>
        </w:tc>
        <w:tc>
          <w:tcPr>
            <w:tcW w:type="dxa" w:w="1440"/>
            <w:vAlign w:val="top"/>
          </w:tcPr>
          <w:p>
            <w:r>
              <w:rPr>
                <w:rFonts w:ascii="Microsoft YaHei" w:hAnsi="Microsoft YaHei" w:eastAsia="Microsoft YaHei"/>
                <w:sz w:val="21"/>
              </w:rPr>
              <w:t>1. 标题：续约权义务及条件表述不明确【批注#4/段落41/作者曾梅梅: 部分采纳。（仅采纳补充“排他性”） 原因：1、AI建议明确乙方主动通知的义务，属于非必要的修改，且一般双方协商即可，任一方提出都行。2、AI建议补充“在征询甲方同意……”，但现实中，我方（翘曲点）并不是特别强势的甲方，在实践中不适用，对方不会答应该修改，且也属于细枝末节的约定，费核心条款，不必过度引申。】建议：合作期限：自2026年1月20日起至2028年1月20日止，共计2年。合作期限届满前30日，</w:t>
              <w:br/>
              <w:t>双</w:t>
              <w:br/>
              <w:t>乙方</w:t>
              <w:br/>
              <w:t>~~可协商~~</w:t>
              <w:br/>
              <w:t>需主动向甲方发出书面续约</w:t>
              <w:br/>
              <w:t>~~事宜，~~</w:t>
              <w:br/>
              <w:t>征询通知；同等条件下甲方享有排他性优先续约权，乙方不得在未征询甲方意见的前提下与第三方洽谈任何同类冠名或品牌合作事宜。建议补充明确“同等条件”的具体标准或认定机制，以避免续约时双方对条件认定产生争议。采纳状态：部分采纳采纳原因：1、AI建议明确乙方主动通知的义务，属于非必要的修改，且一般双方协商即可，任一方提出都行。2、AI建议补充“在征询甲方同意……”，但现实中，我方（翘曲点）并不是特别强势的甲方，在实践中不适用，对方不会答应该修改，且也属于细枝末节的约定，费核心条款，不必过度引申。</w:t>
            </w:r>
          </w:p>
        </w:tc>
      </w:tr>
      <w:tr>
        <w:tc>
          <w:tcPr>
            <w:tcW w:type="dxa" w:w="1440"/>
            <w:vAlign w:val="top"/>
          </w:tcPr>
          <w:p>
            <w:r>
              <w:rPr>
                <w:rFonts w:ascii="Microsoft YaHei" w:hAnsi="Microsoft YaHei" w:eastAsia="Microsoft YaHei"/>
                <w:sz w:val="21"/>
              </w:rPr>
              <w:t>漏报(FN)</w:t>
            </w:r>
          </w:p>
        </w:tc>
        <w:tc>
          <w:tcPr>
            <w:tcW w:type="dxa" w:w="1440"/>
            <w:vAlign w:val="top"/>
          </w:tcPr>
          <w:p>
            <w:r>
              <w:rPr>
                <w:rFonts w:ascii="Microsoft YaHei" w:hAnsi="Microsoft YaHei" w:eastAsia="Microsoft YaHei"/>
                <w:sz w:val="21"/>
              </w:rPr>
              <w:t>1-品牌球馆冠名合作协议_c017</w:t>
            </w:r>
          </w:p>
        </w:tc>
        <w:tc>
          <w:tcPr>
            <w:tcW w:type="dxa" w:w="1440"/>
            <w:vAlign w:val="top"/>
          </w:tcPr>
          <w:p>
            <w:r>
              <w:rPr>
                <w:rFonts w:ascii="Microsoft YaHei" w:hAnsi="Microsoft YaHei" w:eastAsia="Microsoft YaHei"/>
                <w:sz w:val="21"/>
              </w:rPr>
              <w:t>2. 合作期内，妥善保管甲方赞助的物资，除正常使用损耗外，因乙方人为原因导致物资损坏、丢失的，需及时通知甲方并负责维修或按原价赔偿。</w:t>
            </w:r>
          </w:p>
        </w:tc>
        <w:tc>
          <w:tcPr>
            <w:tcW w:type="dxa" w:w="1440"/>
            <w:vAlign w:val="top"/>
          </w:tcPr>
          <w:p>
            <w:r>
              <w:rPr>
                <w:rFonts w:ascii="Microsoft YaHei" w:hAnsi="Microsoft YaHei" w:eastAsia="Microsoft YaHei"/>
                <w:sz w:val="21"/>
              </w:rPr>
              <w:t>未检测到</w:t>
            </w:r>
          </w:p>
        </w:tc>
        <w:tc>
          <w:tcPr>
            <w:tcW w:type="dxa" w:w="1440"/>
            <w:vAlign w:val="top"/>
          </w:tcPr>
          <w:p>
            <w:r>
              <w:rPr>
                <w:rFonts w:ascii="Microsoft YaHei" w:hAnsi="Microsoft YaHei" w:eastAsia="Microsoft YaHei"/>
                <w:sz w:val="21"/>
              </w:rPr>
              <w:t>1. 标题：物资损坏赔偿及品牌损失责任不明说明：原条款未明确通知时限、赔偿标准及品牌损失责任，易导致乙方拖延通知或低价赔偿，且未覆盖品牌形象受损的情形。修改后明确24小时通知、按采购原价赔偿及品牌损失责任，全面保障甲方物资权益及品牌形象。建议：合作期内，妥善保管甲方赞助的物资，除正常使用损耗外，因乙方人为原因导致物资损坏、丢失的，需及在24小时内书面通知甲方，并负责维修或按甲方采购原价（甲方提供采购凭证）赔偿；若因乙方保管不善导致物资无法正常使用影响甲方品牌展示的，乙方需同时赔偿甲方相应的品牌损失。</w:t>
            </w:r>
          </w:p>
        </w:tc>
        <w:tc>
          <w:tcPr>
            <w:tcW w:type="dxa" w:w="1440"/>
            <w:vAlign w:val="top"/>
          </w:tcPr>
          <w:p>
            <w:r>
              <w:rPr>
                <w:rFonts w:ascii="Microsoft YaHei" w:hAnsi="Microsoft YaHei" w:eastAsia="Microsoft YaHei"/>
                <w:sz w:val="21"/>
              </w:rPr>
              <w:t>1. 标题：物资损坏赔偿及品牌损失责任不明【批注#9/段落86/作者曾梅梅: 采纳。 原因：进一步明确通知时限，赔偿标准等。】建议：合作期内，妥善保管甲方赞助的物资，除正常使用损耗外，因乙方人为原因导致物资损坏、丢失的，需</w:t>
              <w:br/>
              <w:t>~~及~~</w:t>
              <w:br/>
              <w:t>在24小时内书面通知甲方，并负责维修或按甲方采购原价（甲方提供采购凭证）赔偿；若因乙方保管不善导致物资无法正常使用影响甲方品牌展示的，乙方需同时赔偿甲方相应的品牌损失。采纳状态：采纳采纳原因：进一步明确通知时限，赔偿标准等。</w:t>
            </w:r>
          </w:p>
        </w:tc>
      </w:tr>
    </w:tbl>
    <w:p>
      <w:r>
        <w:rPr>
          <w:rFonts w:ascii="Microsoft YaHei" w:hAnsi="Microsoft YaHei" w:eastAsia="Microsoft YaHei"/>
          <w:b/>
          <w:sz w:val="21"/>
        </w:rPr>
        <w:t>详细文本对比可通过三方对照文件进行逐一查看</w:t>
      </w:r>
    </w:p>
    <w:p>
      <w:pPr>
        <w:pStyle w:val="Heading3"/>
      </w:pPr>
      <w:r>
        <w:rPr>
          <w:rFonts w:ascii="Microsoft YaHei" w:hAnsi="Microsoft YaHei" w:eastAsia="Microsoft YaHei"/>
          <w:b w:val="0"/>
          <w:sz w:val="21"/>
        </w:rPr>
        <w:t>注：</w:t>
      </w:r>
    </w:p>
    <w:p>
      <w:pPr>
        <w:pStyle w:val="ListNumber"/>
      </w:pPr>
      <w:r>
        <w:rPr>
          <w:rFonts w:ascii="Microsoft YaHei" w:hAnsi="Microsoft YaHei" w:eastAsia="Microsoft YaHei"/>
          <w:b w:val="0"/>
          <w:sz w:val="21"/>
        </w:rPr>
        <w:t>本测试通过每项合同的</w:t>
      </w:r>
      <w:r>
        <w:rPr>
          <w:rFonts w:ascii="Microsoft YaHei" w:hAnsi="Microsoft YaHei" w:eastAsia="Microsoft YaHei"/>
          <w:b/>
          <w:sz w:val="21"/>
        </w:rPr>
        <w:t>《采纳情况说明》</w:t>
      </w:r>
      <w:r>
        <w:rPr>
          <w:rFonts w:ascii="Microsoft YaHei" w:hAnsi="Microsoft YaHei" w:eastAsia="Microsoft YaHei"/>
          <w:b w:val="0"/>
          <w:sz w:val="21"/>
        </w:rPr>
        <w:t>作为评价标签，表一包含</w:t>
      </w:r>
      <w:r>
        <w:rPr>
          <w:rFonts w:ascii="Microsoft YaHei" w:hAnsi="Microsoft YaHei" w:eastAsia="Microsoft YaHei"/>
          <w:b/>
          <w:sz w:val="21"/>
        </w:rPr>
        <w:t>人工采纳、部分采纳</w:t>
      </w:r>
      <w:r>
        <w:rPr>
          <w:rFonts w:ascii="Microsoft YaHei" w:hAnsi="Microsoft YaHei" w:eastAsia="Microsoft YaHei"/>
          <w:b w:val="0"/>
          <w:sz w:val="21"/>
        </w:rPr>
        <w:t>的结果作为真实标签，表二为包含</w:t>
      </w:r>
      <w:r>
        <w:rPr>
          <w:rFonts w:ascii="Microsoft YaHei" w:hAnsi="Microsoft YaHei" w:eastAsia="Microsoft YaHei"/>
          <w:b/>
          <w:sz w:val="21"/>
        </w:rPr>
        <w:t>人工采纳、部分采纳、未采纳</w:t>
      </w:r>
      <w:r>
        <w:rPr>
          <w:rFonts w:ascii="Microsoft YaHei" w:hAnsi="Microsoft YaHei" w:eastAsia="Microsoft YaHei"/>
          <w:b w:val="0"/>
          <w:sz w:val="21"/>
        </w:rPr>
        <w:t>的结果（近似第三方找到的所有条款）作为真实标签</w:t>
      </w:r>
    </w:p>
    <w:p>
      <w:pPr>
        <w:pStyle w:val="ListNumber"/>
      </w:pPr>
      <w:r>
        <w:rPr>
          <w:rFonts w:ascii="Microsoft YaHei" w:hAnsi="Microsoft YaHei" w:eastAsia="Microsoft YaHei"/>
          <w:b w:val="0"/>
          <w:sz w:val="21"/>
        </w:rPr>
        <w:t>通过对不同格式（doc\docx）文件的转换（md）、语义对其提取出测量标签。这个过程中可能因为原文修改建议缺失、条款原文缺失、格式不齐等原因提取遗漏。</w:t>
      </w:r>
    </w:p>
    <w:p>
      <w:pPr>
        <w:pStyle w:val="ListNumber"/>
      </w:pPr>
      <w:r>
        <w:rPr>
          <w:rFonts w:ascii="Microsoft YaHei" w:hAnsi="Microsoft YaHei" w:eastAsia="Microsoft YaHei"/>
          <w:b w:val="0"/>
          <w:sz w:val="21"/>
        </w:rPr>
        <w:t>测试维度分为条款和风险点评测，一个条款中可能有多个风险点</w:t>
      </w:r>
      <w:r>
        <w:rPr>
          <w:rFonts w:ascii="Microsoft YaHei" w:hAnsi="Microsoft YaHei" w:eastAsia="Microsoft YaHei"/>
          <w:b w:val="0"/>
          <w:sz w:val="21"/>
        </w:rPr>
        <w:t>条款级：只看“这一条条款有没有被识别成有风险”</w:t>
      </w:r>
      <w:r>
        <w:rPr>
          <w:rFonts w:ascii="Microsoft YaHei" w:hAnsi="Microsoft YaHei" w:eastAsia="Microsoft YaHei"/>
          <w:b w:val="0"/>
          <w:sz w:val="21"/>
        </w:rPr>
        <w:t>风险点级：看“这一条条款里的具体风险点内容有没有逐条配对成功”</w:t>
      </w:r>
    </w:p>
    <w:p>
      <w:pPr>
        <w:pStyle w:val="Heading2"/>
      </w:pPr>
      <w:r>
        <w:rPr>
          <w:rFonts w:ascii="Microsoft YaHei" w:hAnsi="Microsoft YaHei" w:eastAsia="Microsoft YaHei"/>
          <w:b w:val="0"/>
          <w:sz w:val="21"/>
        </w:rPr>
        <w:t>二.不同维度单独分析</w:t>
      </w:r>
    </w:p>
    <w:p>
      <w:pPr>
        <w:pStyle w:val="Heading3"/>
      </w:pPr>
      <w:r>
        <w:rPr>
          <w:rFonts w:ascii="Microsoft YaHei" w:hAnsi="Microsoft YaHei" w:eastAsia="Microsoft YaHei"/>
          <w:b w:val="0"/>
          <w:sz w:val="21"/>
        </w:rPr>
        <w:t>风险点测试（以人工采纳为标准即表一）</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vAlign w:val="top"/>
          </w:tcPr>
          <w:p>
            <w:r>
              <w:rPr>
                <w:rFonts w:ascii="Microsoft YaHei" w:hAnsi="Microsoft YaHei" w:eastAsia="Microsoft YaHei"/>
                <w:b/>
                <w:sz w:val="21"/>
              </w:rPr>
              <w:t>对象</w:t>
            </w:r>
          </w:p>
        </w:tc>
        <w:tc>
          <w:tcPr>
            <w:tcW w:type="dxa" w:w="1440"/>
            <w:vAlign w:val="top"/>
          </w:tcPr>
          <w:p>
            <w:r>
              <w:rPr>
                <w:rFonts w:ascii="Microsoft YaHei" w:hAnsi="Microsoft YaHei" w:eastAsia="Microsoft YaHei"/>
                <w:b/>
                <w:sz w:val="21"/>
              </w:rPr>
              <w:t>风险点TP/FP/FN</w:t>
            </w:r>
          </w:p>
        </w:tc>
        <w:tc>
          <w:tcPr>
            <w:tcW w:type="dxa" w:w="1440"/>
            <w:vAlign w:val="top"/>
          </w:tcPr>
          <w:p>
            <w:r>
              <w:rPr>
                <w:rFonts w:ascii="Microsoft YaHei" w:hAnsi="Microsoft YaHei" w:eastAsia="Microsoft YaHei"/>
                <w:b/>
                <w:sz w:val="21"/>
              </w:rPr>
              <w:t>精确率</w:t>
              <w:br/>
              <w:t>Precision = TP / (TP + FP)</w:t>
            </w:r>
          </w:p>
        </w:tc>
        <w:tc>
          <w:tcPr>
            <w:tcW w:type="dxa" w:w="1440"/>
            <w:vAlign w:val="top"/>
          </w:tcPr>
          <w:p>
            <w:r>
              <w:rPr>
                <w:rFonts w:ascii="Microsoft YaHei" w:hAnsi="Microsoft YaHei" w:eastAsia="Microsoft YaHei"/>
                <w:b/>
                <w:sz w:val="21"/>
              </w:rPr>
              <w:t>召回率Recall = TP / (TP + FN)</w:t>
            </w:r>
          </w:p>
        </w:tc>
        <w:tc>
          <w:tcPr>
            <w:tcW w:type="dxa" w:w="1440"/>
            <w:vAlign w:val="top"/>
          </w:tcPr>
          <w:p>
            <w:r>
              <w:rPr>
                <w:rFonts w:ascii="Microsoft YaHei" w:hAnsi="Microsoft YaHei" w:eastAsia="Microsoft YaHei"/>
                <w:b/>
                <w:sz w:val="21"/>
              </w:rPr>
              <w:t>漏报率Miss Rate = FN / (TP + FN)</w:t>
            </w:r>
          </w:p>
        </w:tc>
        <w:tc>
          <w:tcPr>
            <w:tcW w:type="dxa" w:w="1440"/>
            <w:vAlign w:val="top"/>
          </w:tcPr>
          <w:p>
            <w:r>
              <w:rPr>
                <w:rFonts w:ascii="Microsoft YaHei" w:hAnsi="Microsoft YaHei" w:eastAsia="Microsoft YaHei"/>
                <w:b/>
                <w:sz w:val="21"/>
              </w:rPr>
              <w:t>误报率False Alarm Rate = FP / (TP + FP)</w:t>
            </w:r>
          </w:p>
        </w:tc>
      </w:tr>
      <w:tr>
        <w:tc>
          <w:tcPr>
            <w:tcW w:type="dxa" w:w="1440"/>
            <w:vAlign w:val="top"/>
          </w:tcPr>
          <w:p>
            <w:r>
              <w:rPr>
                <w:rFonts w:ascii="Microsoft YaHei" w:hAnsi="Microsoft YaHei" w:eastAsia="Microsoft YaHei"/>
                <w:sz w:val="21"/>
              </w:rPr>
              <w:t>本地模型</w:t>
            </w:r>
          </w:p>
        </w:tc>
        <w:tc>
          <w:tcPr>
            <w:tcW w:type="dxa" w:w="1440"/>
            <w:vAlign w:val="top"/>
          </w:tcPr>
          <w:p>
            <w:r>
              <w:rPr>
                <w:rFonts w:ascii="Microsoft YaHei" w:hAnsi="Microsoft YaHei" w:eastAsia="Microsoft YaHei"/>
                <w:sz w:val="21"/>
              </w:rPr>
              <w:t>5/9/13</w:t>
            </w:r>
          </w:p>
        </w:tc>
        <w:tc>
          <w:tcPr>
            <w:tcW w:type="dxa" w:w="1440"/>
            <w:vAlign w:val="top"/>
          </w:tcPr>
          <w:p>
            <w:r>
              <w:rPr>
                <w:rFonts w:ascii="Microsoft YaHei" w:hAnsi="Microsoft YaHei" w:eastAsia="Microsoft YaHei"/>
                <w:sz w:val="21"/>
              </w:rPr>
              <w:t>5 / (5 + 9) =</w:t>
              <w:br/>
              <w:t>35.71%</w:t>
            </w:r>
          </w:p>
        </w:tc>
        <w:tc>
          <w:tcPr>
            <w:tcW w:type="dxa" w:w="1440"/>
            <w:vAlign w:val="top"/>
          </w:tcPr>
          <w:p>
            <w:r>
              <w:rPr>
                <w:rFonts w:ascii="Microsoft YaHei" w:hAnsi="Microsoft YaHei" w:eastAsia="Microsoft YaHei"/>
                <w:sz w:val="21"/>
              </w:rPr>
              <w:t>5 / (5 + 13) =</w:t>
              <w:br/>
              <w:t>27.78%</w:t>
            </w:r>
          </w:p>
        </w:tc>
        <w:tc>
          <w:tcPr>
            <w:tcW w:type="dxa" w:w="1440"/>
            <w:vAlign w:val="top"/>
          </w:tcPr>
          <w:p>
            <w:r>
              <w:rPr>
                <w:rFonts w:ascii="Microsoft YaHei" w:hAnsi="Microsoft YaHei" w:eastAsia="Microsoft YaHei"/>
                <w:sz w:val="21"/>
              </w:rPr>
              <w:t>13 / (5 + 13) =</w:t>
              <w:br/>
              <w:t>72.22%</w:t>
            </w:r>
          </w:p>
        </w:tc>
        <w:tc>
          <w:tcPr>
            <w:tcW w:type="dxa" w:w="1440"/>
            <w:vAlign w:val="top"/>
          </w:tcPr>
          <w:p>
            <w:r>
              <w:rPr>
                <w:rFonts w:ascii="Microsoft YaHei" w:hAnsi="Microsoft YaHei" w:eastAsia="Microsoft YaHei"/>
                <w:sz w:val="21"/>
              </w:rPr>
              <w:t>9 / (5 + 9) =</w:t>
              <w:br/>
              <w:t>64.29%</w:t>
            </w:r>
          </w:p>
        </w:tc>
      </w:tr>
      <w:tr>
        <w:tc>
          <w:tcPr>
            <w:tcW w:type="dxa" w:w="1440"/>
            <w:vAlign w:val="top"/>
          </w:tcPr>
          <w:p>
            <w:r>
              <w:rPr>
                <w:rFonts w:ascii="Microsoft YaHei" w:hAnsi="Microsoft YaHei" w:eastAsia="Microsoft YaHei"/>
                <w:sz w:val="21"/>
              </w:rPr>
              <w:t>第三方平台</w:t>
            </w:r>
          </w:p>
        </w:tc>
        <w:tc>
          <w:tcPr>
            <w:tcW w:type="dxa" w:w="1440"/>
            <w:vAlign w:val="top"/>
          </w:tcPr>
          <w:p>
            <w:r>
              <w:rPr>
                <w:rFonts w:ascii="Microsoft YaHei" w:hAnsi="Microsoft YaHei" w:eastAsia="Microsoft YaHei"/>
                <w:sz w:val="21"/>
              </w:rPr>
              <w:t>18/17/0</w:t>
            </w:r>
          </w:p>
        </w:tc>
        <w:tc>
          <w:tcPr>
            <w:tcW w:type="dxa" w:w="1440"/>
            <w:vAlign w:val="top"/>
          </w:tcPr>
          <w:p>
            <w:r>
              <w:rPr>
                <w:rFonts w:ascii="Microsoft YaHei" w:hAnsi="Microsoft YaHei" w:eastAsia="Microsoft YaHei"/>
                <w:sz w:val="21"/>
              </w:rPr>
              <w:t>18 / (18 + 17) =</w:t>
              <w:br/>
              <w:t>51.43%</w:t>
            </w:r>
          </w:p>
        </w:tc>
        <w:tc>
          <w:tcPr>
            <w:tcW w:type="dxa" w:w="1440"/>
            <w:vAlign w:val="top"/>
          </w:tcPr>
          <w:p>
            <w:r>
              <w:rPr>
                <w:rFonts w:ascii="Microsoft YaHei" w:hAnsi="Microsoft YaHei" w:eastAsia="Microsoft YaHei"/>
                <w:sz w:val="21"/>
              </w:rPr>
              <w:t>18 / (18 + 0) =</w:t>
              <w:br/>
              <w:t>100.00%</w:t>
            </w:r>
          </w:p>
        </w:tc>
        <w:tc>
          <w:tcPr>
            <w:tcW w:type="dxa" w:w="1440"/>
            <w:vAlign w:val="top"/>
          </w:tcPr>
          <w:p>
            <w:r>
              <w:rPr>
                <w:rFonts w:ascii="Microsoft YaHei" w:hAnsi="Microsoft YaHei" w:eastAsia="Microsoft YaHei"/>
                <w:sz w:val="21"/>
              </w:rPr>
              <w:t>0 / (18 + 0) =</w:t>
              <w:br/>
              <w:t>0.00%</w:t>
            </w:r>
          </w:p>
        </w:tc>
        <w:tc>
          <w:tcPr>
            <w:tcW w:type="dxa" w:w="1440"/>
            <w:vAlign w:val="top"/>
          </w:tcPr>
          <w:p>
            <w:r>
              <w:rPr>
                <w:rFonts w:ascii="Microsoft YaHei" w:hAnsi="Microsoft YaHei" w:eastAsia="Microsoft YaHei"/>
                <w:sz w:val="21"/>
              </w:rPr>
              <w:t>17 / (18 + 17) =</w:t>
              <w:br/>
              <w:t>48.57%</w:t>
            </w:r>
          </w:p>
        </w:tc>
      </w:tr>
    </w:tbl>
    <w:p>
      <w:pPr>
        <w:pStyle w:val="ListBullet"/>
      </w:pPr>
      <w:r>
        <w:rPr>
          <w:rFonts w:ascii="Microsoft YaHei" w:hAnsi="Microsoft YaHei" w:eastAsia="Microsoft YaHei"/>
          <w:b w:val="0"/>
          <w:sz w:val="21"/>
        </w:rPr>
        <w:t>从风险点精确率上看，第三方平台精确率即意见被采纳为</w:t>
      </w:r>
      <w:r>
        <w:rPr>
          <w:rFonts w:ascii="Microsoft YaHei" w:hAnsi="Microsoft YaHei" w:eastAsia="Microsoft YaHei"/>
          <w:b/>
          <w:sz w:val="21"/>
        </w:rPr>
        <w:t>51.43%</w:t>
      </w:r>
      <w:r>
        <w:rPr>
          <w:rFonts w:ascii="Microsoft YaHei" w:hAnsi="Microsoft YaHei" w:eastAsia="Microsoft YaHei"/>
          <w:b w:val="0"/>
          <w:sz w:val="21"/>
        </w:rPr>
        <w:t>，本地本地模型符合采纳要求的风险点预测为</w:t>
      </w:r>
      <w:r>
        <w:rPr>
          <w:rFonts w:ascii="Microsoft YaHei" w:hAnsi="Microsoft YaHei" w:eastAsia="Microsoft YaHei"/>
          <w:b/>
          <w:sz w:val="21"/>
        </w:rPr>
        <w:t>35.71%</w:t>
      </w:r>
      <w:r>
        <w:rPr>
          <w:rFonts w:ascii="Microsoft YaHei" w:hAnsi="Microsoft YaHei" w:eastAsia="Microsoft YaHei"/>
          <w:b w:val="0"/>
          <w:sz w:val="21"/>
        </w:rPr>
        <w:t>，这表明现有本地模型意见只有少量可取性。</w:t>
      </w:r>
    </w:p>
    <w:p>
      <w:pPr>
        <w:pStyle w:val="ListBullet"/>
      </w:pPr>
      <w:r>
        <w:rPr>
          <w:rFonts w:ascii="Microsoft YaHei" w:hAnsi="Microsoft YaHei" w:eastAsia="Microsoft YaHei"/>
          <w:b w:val="0"/>
          <w:sz w:val="21"/>
        </w:rPr>
        <w:t>从风险点召回率上看，本地模型召回率低为</w:t>
      </w:r>
      <w:r>
        <w:rPr>
          <w:rFonts w:ascii="Microsoft YaHei" w:hAnsi="Microsoft YaHei" w:eastAsia="Microsoft YaHei"/>
          <w:b/>
          <w:sz w:val="21"/>
        </w:rPr>
        <w:t>27.78%</w:t>
      </w:r>
      <w:r>
        <w:rPr>
          <w:rFonts w:ascii="Microsoft YaHei" w:hAnsi="Microsoft YaHei" w:eastAsia="Microsoft YaHei"/>
          <w:b w:val="0"/>
          <w:sz w:val="21"/>
        </w:rPr>
        <w:t>，说明漏报多，模型容易漏掉本该发现的风险。由于现有数据基于第三方给出的意见作为评判基数，因此第三方平台召回率为</w:t>
      </w:r>
      <w:r>
        <w:rPr>
          <w:rFonts w:ascii="Microsoft YaHei" w:hAnsi="Microsoft YaHei" w:eastAsia="Microsoft YaHei"/>
          <w:b/>
          <w:sz w:val="21"/>
        </w:rPr>
        <w:t>100.00%</w:t>
      </w:r>
      <w:r>
        <w:rPr>
          <w:rFonts w:ascii="Microsoft YaHei" w:hAnsi="Microsoft YaHei" w:eastAsia="Microsoft YaHei"/>
          <w:b w:val="0"/>
          <w:sz w:val="21"/>
        </w:rPr>
        <w:t>。</w:t>
      </w:r>
    </w:p>
    <w:p>
      <w:pPr>
        <w:pStyle w:val="ListBullet"/>
      </w:pPr>
      <w:r>
        <w:rPr>
          <w:rFonts w:ascii="Microsoft YaHei" w:hAnsi="Microsoft YaHei" w:eastAsia="Microsoft YaHei"/>
          <w:b w:val="0"/>
          <w:sz w:val="21"/>
        </w:rPr>
        <w:t>从风险点漏报率上看，本地模型漏报率高达</w:t>
      </w:r>
      <w:r>
        <w:rPr>
          <w:rFonts w:ascii="Microsoft YaHei" w:hAnsi="Microsoft YaHei" w:eastAsia="Microsoft YaHei"/>
          <w:b/>
          <w:sz w:val="21"/>
        </w:rPr>
        <w:t>72.22%</w:t>
      </w:r>
      <w:r>
        <w:rPr>
          <w:rFonts w:ascii="Microsoft YaHei" w:hAnsi="Microsoft YaHei" w:eastAsia="Microsoft YaHei"/>
          <w:b w:val="0"/>
          <w:sz w:val="21"/>
        </w:rPr>
        <w:t>，同样说明模型存在遗漏关键风险的问题。</w:t>
      </w:r>
    </w:p>
    <w:p>
      <w:pPr>
        <w:pStyle w:val="ListBullet"/>
      </w:pPr>
      <w:r>
        <w:rPr>
          <w:rFonts w:ascii="Microsoft YaHei" w:hAnsi="Microsoft YaHei" w:eastAsia="Microsoft YaHei"/>
          <w:b w:val="0"/>
          <w:sz w:val="21"/>
        </w:rPr>
        <w:t>从风险点误报率上看，本地模型误报率为</w:t>
      </w:r>
      <w:r>
        <w:rPr>
          <w:rFonts w:ascii="Microsoft YaHei" w:hAnsi="Microsoft YaHei" w:eastAsia="Microsoft YaHei"/>
          <w:b/>
          <w:sz w:val="21"/>
        </w:rPr>
        <w:t>64.29%</w:t>
      </w:r>
      <w:r>
        <w:rPr>
          <w:rFonts w:ascii="Microsoft YaHei" w:hAnsi="Microsoft YaHei" w:eastAsia="Microsoft YaHei"/>
          <w:b w:val="0"/>
          <w:sz w:val="21"/>
        </w:rPr>
        <w:t>，相对第三方平台较高。</w:t>
      </w:r>
    </w:p>
    <w:p>
      <w:pPr>
        <w:pStyle w:val="ListBullet"/>
      </w:pPr>
      <w:r>
        <w:rPr>
          <w:rFonts w:ascii="Microsoft YaHei" w:hAnsi="Microsoft YaHei" w:eastAsia="Microsoft YaHei"/>
          <w:b w:val="0"/>
          <w:sz w:val="21"/>
        </w:rPr>
        <w:t>综合总体数据，现有的本地模型最大问题是</w:t>
      </w:r>
      <w:r>
        <w:rPr>
          <w:rFonts w:ascii="Microsoft YaHei" w:hAnsi="Microsoft YaHei" w:eastAsia="Microsoft YaHei"/>
          <w:b/>
          <w:sz w:val="21"/>
        </w:rPr>
        <w:t>输出较少</w:t>
      </w:r>
      <w:r>
        <w:rPr>
          <w:rFonts w:ascii="Microsoft YaHei" w:hAnsi="Microsoft YaHei" w:eastAsia="Microsoft YaHei"/>
          <w:b w:val="0"/>
          <w:sz w:val="21"/>
        </w:rPr>
        <w:t>（本地模型输出风险点为5+9=14，第三方输出风险点为18+17=35），准确性为第三方平台的一半，误报率接近第三方平台</w:t>
      </w:r>
    </w:p>
    <w:p>
      <w:pPr>
        <w:pStyle w:val="Heading2"/>
      </w:pPr>
      <w:r>
        <w:rPr>
          <w:rFonts w:ascii="Microsoft YaHei" w:hAnsi="Microsoft YaHei" w:eastAsia="Microsoft YaHei"/>
          <w:b w:val="0"/>
          <w:sz w:val="21"/>
        </w:rPr>
        <w:t>三.总结当前阶段的结果</w:t>
      </w:r>
    </w:p>
    <w:p>
      <w:pPr>
        <w:pStyle w:val="Heading3"/>
      </w:pPr>
      <w:r>
        <w:rPr>
          <w:rFonts w:ascii="Microsoft YaHei" w:hAnsi="Microsoft YaHei" w:eastAsia="Microsoft YaHei"/>
          <w:b w:val="0"/>
          <w:sz w:val="21"/>
        </w:rPr>
        <w:t>风险点测试</w:t>
      </w:r>
    </w:p>
    <w:p>
      <w:pPr>
        <w:pStyle w:val="ListNumber"/>
      </w:pPr>
      <w:r>
        <w:rPr>
          <w:rFonts w:ascii="Microsoft YaHei" w:hAnsi="Microsoft YaHei" w:eastAsia="Microsoft YaHei"/>
          <w:b w:val="0"/>
          <w:sz w:val="21"/>
        </w:rPr>
        <w:t>目前主要采用将原文件doc\docx转为md作为与模型交互的格式，这个过程中的格式兼容问题、转化后各级标题排序问题已初步解决。如后续得到更多样本遇到新的格式问题将跟进优化格式转化。</w:t>
      </w:r>
    </w:p>
    <w:p>
      <w:pPr>
        <w:pStyle w:val="ListNumber"/>
      </w:pPr>
      <w:r>
        <w:rPr>
          <w:rFonts w:ascii="Microsoft YaHei" w:hAnsi="Microsoft YaHei" w:eastAsia="Microsoft YaHei"/>
          <w:b w:val="0"/>
          <w:sz w:val="21"/>
        </w:rPr>
        <w:t>采集对比通过对md文件按多级标题划分提取出json作为数据标签，第三方数据通过遍历《第三方平台审查结果》文件提取数据集，在提取和对齐过程中会遗漏一些标签，后续将进一步分析遗漏条款针对性补丁提取流程。如果需求方可以跟进规范化文件这一问题也将优化。</w:t>
      </w:r>
    </w:p>
    <w:p>
      <w:pPr>
        <w:pStyle w:val="ListNumber"/>
      </w:pPr>
      <w:r>
        <w:rPr>
          <w:rFonts w:ascii="Microsoft YaHei" w:hAnsi="Microsoft YaHei" w:eastAsia="Microsoft YaHei"/>
          <w:b w:val="0"/>
          <w:sz w:val="21"/>
        </w:rPr>
        <w:t>目前单通过提示词方式实现本地模型输出，本地模型预测性能还未达到第三方平台水平的一半。以表一人工采纳希望的结果为例：第三方平台在合同《品牌球馆冠名合作协议》中被采纳了11条风险点，误报了5条未被采纳的风险点，通过近似模拟本地模型只判断出6条风险点，其中3条近似人工可采纳的风险点，另外3条为误报即人工不采纳的风险点，8条为漏报。具体评判是否模型输出的风险点是否正确还需需求方专业测评。后续需要改进模型提示词优化、知识库搭建等方式提示模型性能，同时配合需求方修正判别标准以及更多合同实例提升准确性。</w:t>
      </w:r>
    </w:p>
    <w:p>
      <w:pPr>
        <w:pStyle w:val="ListNumber"/>
      </w:pPr>
      <w:r>
        <w:rPr>
          <w:rFonts w:ascii="Microsoft YaHei" w:hAnsi="Microsoft YaHei" w:eastAsia="Microsoft YaHei"/>
          <w:b w:val="0"/>
          <w:sz w:val="21"/>
        </w:rPr>
        <w:t>目前由于缺乏专业性知识，暂时无法测量模型输出的解释和修改建议的正确性，需要需求方配合辨认。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