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word/2010/wordprocessingShape" xmlns:w="http://schemas.openxmlformats.org/wordprocessingml/2006/main" mc:Ignorable="w14 w15 wp14">
  <w:body>
    <w:p ns2:paraId="76DE6068">
      <w:pPr>
        <w:spacing w:line="360" w:lineRule="auto"/>
        <w:jc w:val="right"/>
        <w:rPr>
          <w:rFonts w:ascii="黑体" w:hAnsi="黑体" w:eastAsia="黑体" w:cs="黑体"/>
          <w:b/>
          <w:color w:val="000000"/>
          <w:spacing w:val="60"/>
          <w:sz w:val="32"/>
        </w:rPr>
      </w:pPr>
      <w:r>
        <w:rPr>
          <w:rFonts w:hint="eastAsia" w:ascii="宋体" w:hAnsi="宋体" w:eastAsia="宋体" w:cs="宋体"/>
          <w:color w:val="000000"/>
          <w:sz w:val="72"/>
          <w:lang w:eastAsia="zh-CN"/>
        </w:rPr>
        <w:drawing>
          <ns3:anchor distT="0" distB="0" distL="114300" distR="114300" simplePos="0" relativeHeight="251659264" behindDoc="1" locked="0" layoutInCell="1" allowOverlap="1">
            <ns3:simplePos x="0" y="0"/>
            <ns3:positionH relativeFrom="column">
              <ns3:posOffset>-906145</ns3:posOffset>
            </ns3:positionH>
            <ns3:positionV relativeFrom="paragraph">
              <ns3:posOffset>-901065</ns3:posOffset>
            </ns3:positionV>
            <ns3:extent cx="7559675" cy="10659745"/>
            <ns3:effectExtent l="0" t="0" r="9525" b="0"/>
            <ns3:wrapNone/>
            <ns3:docPr id="5" name="图片 5" descr="/Users/edy/Desktop/底图.png底图"/>
            <ns3:cNvGraphicFramePr>
              <ns4:graphicFrameLocks noChangeAspect="1"/>
            </ns3:cNvGraphicFramePr>
            <ns4:graphic>
              <ns4:graphicData uri="http://schemas.openxmlformats.org/drawingml/2006/picture">
                <ns5:pic>
                  <ns5:nvPicPr>
                    <ns5:cNvPr id="5" name="图片 5" descr="/Users/edy/Desktop/底图.png底图"/>
                    <ns5:cNvPicPr>
                      <ns4:picLocks noChangeAspect="1"/>
                    </ns5:cNvPicPr>
                  </ns5:nvPicPr>
                  <ns5:blipFill>
                    <ns4:blip ns6:embed="rId6"/>
                    <ns4:srcRect/>
                    <ns4:stretch>
                      <ns4:fillRect/>
                    </ns4:stretch>
                  </ns5:blipFill>
                  <ns5:spPr>
                    <ns4:xfrm>
                      <ns4:off x="0" y="0"/>
                      <ns4:ext cx="7559675" cy="10659745"/>
                    </ns4:xfrm>
                    <ns4:prstGeom prst="rect">
                      <ns4:avLst/>
                    </ns4:prstGeom>
                  </ns5:spPr>
                </ns5:pic>
              </ns4:graphicData>
            </ns4:graphic>
          </ns3:anchor>
        </w:drawing>
      </w:r>
      <w:r>
        <w:rPr>
          <w:rFonts w:hint="eastAsia" w:ascii="黑体" w:hAnsi="黑体" w:eastAsia="黑体" w:cs="黑体"/>
          <w:sz w:val="18"/>
          <w:szCs w:val="18"/>
        </w:rPr>
        <w:drawing>
          <ns3:anchor distT="0" distB="0" distL="114300" distR="114300" simplePos="0" relativeHeight="251663360" behindDoc="1" locked="0" layoutInCell="1" allowOverlap="1">
            <ns3:simplePos x="0" y="0"/>
            <ns3:positionH relativeFrom="column">
              <ns3:posOffset>-304165</ns3:posOffset>
            </ns3:positionH>
            <ns3:positionV relativeFrom="paragraph">
              <ns3:posOffset>2588895</ns3:posOffset>
            </ns3:positionV>
            <ns3:extent cx="3844925" cy="79375"/>
            <ns3:effectExtent l="0" t="0" r="15875" b="22225"/>
            <ns3:wrapNone/>
            <ns3:docPr id="16" name="图片 16" descr="/Users/edy/Downloads/矩形切图.png矩形切图"/>
            <ns3:cNvGraphicFramePr>
              <ns4:graphicFrameLocks noChangeAspect="1"/>
            </ns3:cNvGraphicFramePr>
            <ns4:graphic>
              <ns4:graphicData uri="http://schemas.openxmlformats.org/drawingml/2006/picture">
                <ns5:pic>
                  <ns5:nvPicPr>
                    <ns5:cNvPr id="16" name="图片 16" descr="/Users/edy/Downloads/矩形切图.png矩形切图"/>
                    <ns5:cNvPicPr>
                      <ns4:picLocks noChangeAspect="1"/>
                    </ns5:cNvPicPr>
                  </ns5:nvPicPr>
                  <ns5:blipFill>
                    <ns4:blip ns6:embed="rId7"/>
                    <ns4:srcRect t="198" b="198"/>
                    <ns4:stretch>
                      <ns4:fillRect/>
                    </ns4:stretch>
                  </ns5:blipFill>
                  <ns5:spPr>
                    <ns4:xfrm>
                      <ns4:off x="0" y="0"/>
                      <ns4:ext cx="3844925" cy="79375"/>
                    </ns4:xfrm>
                    <ns4:prstGeom prst="rect">
                      <ns4:avLst/>
                    </ns4:prstGeom>
                  </ns5:spPr>
                </ns5:pic>
              </ns4:graphicData>
            </ns4:graphic>
          </ns3:anchor>
        </w:drawing>
      </w:r>
      <w:r>
        <w:rPr>
          <w:rFonts w:hint="eastAsia" w:ascii="黑体" w:hAnsi="黑体" w:eastAsia="黑体" w:cs="黑体"/>
          <w:sz w:val="18"/>
          <w:szCs w:val="18"/>
        </w:rPr>
        <w:drawing>
          <ns3:anchor distT="152400" distB="152400" distL="152400" distR="152400" simplePos="0" relativeHeight="251661312" behindDoc="0" locked="0" layoutInCell="1" allowOverlap="1">
            <ns3:simplePos x="0" y="0"/>
            <ns3:positionH relativeFrom="page">
              <ns3:posOffset>558165</ns3:posOffset>
            </ns3:positionH>
            <ns3:positionV relativeFrom="page">
              <ns3:posOffset>1831340</ns3:posOffset>
            </ns3:positionV>
            <ns3:extent cx="6511925" cy="670560"/>
            <ns3:effectExtent l="0" t="0" r="0" b="0"/>
            <ns3:wrapTopAndBottom/>
            <ns3:docPr id="19" name="Text Box 27"/>
            <ns3:cNvGraphicFramePr/>
            <ns4:graphic>
              <ns4:graphicData uri="http://schemas.microsoft.com/office/word/2010/wordprocessingShape">
                <ns7:wsp>
                  <ns7:cNvSpPr txBox="1"/>
                  <ns7:spPr bwMode="auto">
                    <ns4:xfrm>
                      <ns4:off x="0" y="0"/>
                      <ns4:ext cx="6511925" cy="670560"/>
                    </ns4:xfrm>
                    <ns4:prstGeom prst="rect">
                      <ns4:avLst/>
                    </ns4:prstGeom>
                    <ns4:noFill/>
                    <ns4:ln>
                      <ns4:noFill/>
                    </ns4:ln>
                  </ns7:spPr>
                  <ns7:txbx>
                    <w:txbxContent>
                      <w:p ns2:paraId="52EE6A31">
                        <w:pPr>
                          <w:rPr>
                            <w:rFonts w:ascii="黑体" w:hAnsi="黑体" w:eastAsia="黑体" w:cs="黑体"/>
                            <w:b/>
                            <w:sz w:val="80"/>
                            <w:szCs w:val="80"/>
                          </w:rPr>
                        </w:pPr>
                        <w:r>
                          <w:rPr>
                            <w:rFonts w:hint="eastAsia" w:ascii="黑体" w:hAnsi="黑体" w:eastAsia="黑体" w:cs="黑体"/>
                            <w:b/>
                            <w:sz w:val="64"/>
                            <w:szCs w:val="80"/>
                            <w:lang w:val="en-US" w:eastAsia="zh-Hans" w:bidi="ar"/>
                          </w:rPr>
                          <w:t>Contract</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Review</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Opinion</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Report</w:t>
                        </w:r>
                      </w:p>
                      <w:p ns2:paraId="6997DAEC">
                        <w:pPr>
                          <w:rPr>
                            <w:rFonts w:ascii="黑体" w:hAnsi="黑体" w:eastAsia="黑体" w:cs="黑体"/>
                            <w:b/>
                            <w:sz w:val="80"/>
                            <w:szCs w:val="80"/>
                          </w:rPr>
                        </w:pPr>
                      </w:p>
                    </w:txbxContent>
                  </ns7:txbx>
                  <ns7:bodyPr rot="0" vert="horz" wrap="square" lIns="50800" tIns="50800" rIns="50800" bIns="50800" anchor="t" anchorCtr="0" upright="1"/>
                </ns7:wsp>
              </ns4:graphicData>
            </ns4:graphic>
          </ns3:anchor>
        </w:drawing>
      </w:r>
      <w:r>
        <w:rPr>
          <w:rFonts w:hint="eastAsia" w:ascii="黑体" w:hAnsi="黑体" w:eastAsia="黑体" w:cs="黑体"/>
          <w:sz w:val="18"/>
          <w:szCs w:val="18"/>
        </w:rPr>
        <w:drawing>
          <ns3:anchor distT="152400" distB="152400" distL="152400" distR="152400" simplePos="0" relativeHeight="251660288" behindDoc="0" locked="0" layoutInCell="1" allowOverlap="1">
            <ns3:simplePos x="0" y="0"/>
            <ns3:positionH relativeFrom="page">
              <ns3:posOffset>514350</ns3:posOffset>
            </ns3:positionH>
            <ns3:positionV relativeFrom="page">
              <ns3:posOffset>2585085</ns3:posOffset>
            </ns3:positionV>
            <ns3:extent cx="7551420" cy="933450"/>
            <ns3:effectExtent l="0" t="0" r="0" b="0"/>
            <ns3:wrapTopAndBottom/>
            <ns3:docPr id="23" name="Text Box 27"/>
            <ns3:cNvGraphicFramePr/>
            <ns4:graphic>
              <ns4:graphicData uri="http://schemas.microsoft.com/office/word/2010/wordprocessingShape">
                <ns7:wsp>
                  <ns7:cNvSpPr txBox="1"/>
                  <ns7:spPr bwMode="auto">
                    <ns4:xfrm>
                      <ns4:off x="0" y="0"/>
                      <ns4:ext cx="7551420" cy="933450"/>
                    </ns4:xfrm>
                    <ns4:prstGeom prst="rect">
                      <ns4:avLst/>
                    </ns4:prstGeom>
                    <ns4:noFill/>
                    <ns4:ln>
                      <ns4:noFill/>
                    </ns4:ln>
                  </ns7:spPr>
                  <ns7:txbx>
                    <w:txbxContent>
                      <w:p ns2:paraId="0E592386">
                        <w:pPr>
                          <w:pStyle w:val="14"/>
                          <w:rPr>
                            <w:rFonts w:ascii="Times New Roman" w:hAnsi="Times New Roman" w:eastAsia="Arial Unicode MS" w:cs="Times New Roman"/>
                            <w:color w:val="EA6F2D"/>
                            <w:sz w:val="80"/>
                            <w:szCs w:val="80"/>
                            <w:lang w:val="en-US"/>
                          </w:rPr>
                        </w:pPr>
                        <w:r>
                          <w:rPr>
                            <w:rFonts w:hint="eastAsia" w:ascii="黑体" w:hAnsi="黑体" w:eastAsia="黑体" w:cs="黑体"/>
                            <w:b/>
                            <w:color w:val="EA6F2D"/>
                            <w:sz w:val="80"/>
                            <w:szCs w:val="80"/>
                            <w:lang w:val="en-US" w:eastAsia="zh-Hans"/>
                          </w:rPr>
                          <w:t>合同审查</w:t>
                        </w:r>
                        <w:r>
                          <w:rPr>
                            <w:rFonts w:hint="eastAsia" w:ascii="黑体" w:hAnsi="黑体" w:eastAsia="黑体" w:cs="黑体"/>
                            <w:b/>
                            <w:color w:val="EA6F2D"/>
                            <w:sz w:val="80"/>
                            <w:szCs w:val="80"/>
                            <w:lang w:val="en-US"/>
                          </w:rPr>
                          <w:t>意见书</w:t>
                        </w:r>
                      </w:p>
                    </w:txbxContent>
                  </ns7:txbx>
                  <ns7:bodyPr rot="0" vert="horz" wrap="square" lIns="50800" tIns="50800" rIns="50800" bIns="50800" anchor="t" anchorCtr="0" upright="1"/>
                </ns7:wsp>
              </ns4:graphicData>
            </ns4:graphic>
          </ns3:anchor>
        </w:drawing>
      </w:r>
    </w:p>
    <w:p ns2:paraId="6095C557">
      <w:pPr>
        <w:spacing w:line="360" w:lineRule="auto"/>
        <w:jc w:val="center"/>
        <w:rPr>
          <w:rFonts w:ascii="黑体" w:hAnsi="黑体" w:eastAsia="黑体" w:cs="黑体"/>
          <w:b/>
          <w:color w:val="000000"/>
          <w:spacing w:val="60"/>
          <w:sz w:val="32"/>
        </w:rPr>
      </w:pPr>
    </w:p>
    <w:p ns2:paraId="566F3A7B">
      <w:pPr>
        <w:spacing w:line="360" w:lineRule="auto"/>
        <w:jc w:val="center"/>
        <w:rPr>
          <w:rFonts w:ascii="黑体" w:hAnsi="黑体" w:eastAsia="黑体" w:cs="黑体"/>
          <w:b/>
          <w:color w:val="000000"/>
          <w:spacing w:val="60"/>
          <w:sz w:val="32"/>
        </w:rPr>
      </w:pPr>
    </w:p>
    <w:p ns2:paraId="2C656C06">
      <w:pPr>
        <w:spacing w:line="360" w:lineRule="auto"/>
        <w:jc w:val="center"/>
        <w:rPr>
          <w:rFonts w:ascii="黑体" w:hAnsi="黑体" w:eastAsia="黑体" w:cs="黑体"/>
          <w:b/>
          <w:color w:val="000000"/>
          <w:spacing w:val="60"/>
          <w:sz w:val="32"/>
        </w:rPr>
      </w:pPr>
    </w:p>
    <w:p ns2:paraId="34CD39BE">
      <w:pPr>
        <w:spacing w:line="360" w:lineRule="auto"/>
        <w:jc w:val="center"/>
        <w:rPr>
          <w:rFonts w:ascii="黑体" w:hAnsi="黑体" w:eastAsia="黑体" w:cs="黑体"/>
          <w:b/>
          <w:color w:val="000000"/>
          <w:spacing w:val="60"/>
          <w:sz w:val="32"/>
        </w:rPr>
      </w:pPr>
    </w:p>
    <w:p ns2:paraId="2D39E4E0">
      <w:pPr>
        <w:spacing w:line="360" w:lineRule="auto"/>
        <w:jc w:val="center"/>
        <w:rPr>
          <w:rFonts w:ascii="黑体" w:hAnsi="黑体" w:eastAsia="黑体" w:cs="黑体"/>
          <w:b/>
          <w:color w:val="000000"/>
          <w:spacing w:val="60"/>
          <w:sz w:val="32"/>
        </w:rPr>
      </w:pPr>
    </w:p>
    <w:p ns2:paraId="137C287A">
      <w:pPr>
        <w:spacing w:line="360" w:lineRule="auto"/>
        <w:jc w:val="center"/>
        <w:rPr>
          <w:rFonts w:ascii="宋体" w:hAnsi="宋体" w:eastAsia="宋体" w:cs="宋体"/>
          <w:b/>
          <w:i w:val="0"/>
          <w:color w:val="000000"/>
          <w:spacing w:val="60"/>
          <w:sz w:val="32"/>
          <w:lang w:eastAsia="zh-CN"/>
        </w:rPr>
      </w:pPr>
    </w:p>
    <w:p ns2:paraId="303B10B8">
      <w:pPr>
        <w:spacing w:line="360" w:lineRule="auto"/>
        <w:jc w:val="center"/>
        <w:rPr>
          <w:rFonts w:ascii="宋体" w:hAnsi="宋体" w:eastAsia="宋体" w:cs="宋体"/>
          <w:b/>
          <w:i w:val="0"/>
          <w:color w:val="000000"/>
          <w:spacing w:val="60"/>
          <w:sz w:val="32"/>
          <w:lang w:eastAsia="zh-CN"/>
        </w:rPr>
      </w:pPr>
    </w:p>
    <w:p ns2:paraId="21347AD7">
      <w:pPr>
        <w:rPr>
          <w:rFonts w:ascii="宋体" w:hAnsi="宋体" w:eastAsia="宋体" w:cs="宋体"/>
          <w:b w:val="0"/>
          <w:i w:val="0"/>
          <w:color w:val="000000"/>
          <w:spacing w:val="0"/>
          <w:kern w:val="0"/>
          <w:sz w:val="24"/>
          <w:u w:val="none"/>
          <w:lang w:eastAsia="zh-CN"/>
        </w:rPr>
      </w:pPr>
      <w:r>
        <w:rPr>
          <w:rFonts w:hint="eastAsia" w:ascii="黑体" w:hAnsi="黑体" w:eastAsia="黑体" w:cs="黑体"/>
          <w:sz w:val="18"/>
          <w:szCs w:val="18"/>
        </w:rPr>
        <w:drawing>
          <ns3:anchor distT="152400" distB="152400" distL="152400" distR="152400" simplePos="0" relativeHeight="251662336" behindDoc="0" locked="0" layoutInCell="1" allowOverlap="1">
            <ns3:simplePos x="0" y="0"/>
            <ns3:positionH relativeFrom="page">
              <ns3:posOffset>4513580</ns3:posOffset>
            </ns3:positionH>
            <ns3:positionV relativeFrom="page">
              <ns3:posOffset>8719820</ns3:posOffset>
            </ns3:positionV>
            <ns3:extent cx="2720340" cy="533400"/>
            <ns3:effectExtent l="0" t="0" r="0" b="0"/>
            <ns3:wrapTopAndBottom/>
            <ns3:docPr id="4" name="Text Box 27"/>
            <ns3:cNvGraphicFramePr/>
            <ns4:graphic>
              <ns4:graphicData uri="http://schemas.microsoft.com/office/word/2010/wordprocessingShape">
                <ns7:wsp>
                  <ns7:cNvSpPr txBox="1"/>
                  <ns7:spPr bwMode="auto">
                    <ns4:xfrm>
                      <ns4:off x="0" y="0"/>
                      <ns4:ext cx="2720340" cy="533400"/>
                    </ns4:xfrm>
                    <ns4:prstGeom prst="rect">
                      <ns4:avLst/>
                    </ns4:prstGeom>
                    <ns4:noFill/>
                    <ns4:ln>
                      <ns4:noFill/>
                    </ns4:ln>
                  </ns7:spPr>
                  <ns7:txbx>
                    <w:txbxContent>
                      <w:p ns2:paraId="49D03EBE">
                        <w:pPr>
                          <w:spacing w:line="360" w:lineRule="auto"/>
                          <w:rPr>
                            <w:rFonts w:ascii="黑体" w:hAnsi="黑体" w:eastAsia="黑体" w:cs="黑体"/>
                            <w:color w:val="333333"/>
                            <w:sz w:val="28"/>
                            <w:szCs w:val="28"/>
                          </w:rPr>
                        </w:pPr>
                        <w:r>
                          <w:rPr>
                            <w:rFonts w:hint="eastAsia" w:ascii="黑体" w:hAnsi="黑体" w:eastAsia="黑体" w:cs="黑体"/>
                            <w:color w:val="333333"/>
                            <w:sz w:val="28"/>
                            <w:szCs w:val="28"/>
                            <w:lang w:eastAsia="zh-CN" w:bidi="ar"/>
                          </w:rPr>
                          <w:t>日期：2026年01月09日</w:t>
                        </w:r>
                      </w:p>
                    </w:txbxContent>
                  </ns7:txbx>
                  <ns7:bodyPr rot="0" vert="horz" wrap="square" lIns="50400" tIns="50800" rIns="50800" bIns="50800" anchor="t" anchorCtr="0" upright="1"/>
                </ns7:wsp>
              </ns4:graphicData>
            </ns4:graphic>
          </ns3:anchor>
        </w:drawing>
      </w:r>
    </w:p>
    <w:p ns2:paraId="144365F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楷体" w:hAnsi="楷体" w:eastAsia="楷体" w:cs="楷体"/>
          <w:b/>
          <w:bCs/>
          <w:sz w:val="21"/>
          <w:szCs w:val="21"/>
          <w:lang w:val="en-US" w:eastAsia="zh-CN"/>
        </w:rPr>
        <w:sectPr>
          <w:pgSz w:w="11906" w:h="16838"/>
          <w:pgMar w:top="1440" w:right="1440" w:bottom="1440" w:left="1349" w:header="851" w:footer="992" w:gutter="0"/>
          <w:pgNumType w:fmt="decimal"/>
          <w:cols w:space="425" w:num="1"/>
          <w:docGrid w:type="lines" w:linePitch="312" w:charSpace="0"/>
        </w:sectPr>
      </w:pPr>
    </w:p>
    <w:p ns2:paraId="4D439DF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lang w:val="en-US" w:eastAsia="zh-CN"/>
          <w:color w:val="ed6c00"/>
        </w:rPr>
      </w:pPr>
      <w:r>
        <w:rPr>
          <w:rFonts w:hint="eastAsia" w:ascii="楷体" w:hAnsi="楷体" w:eastAsia="楷体" w:cs="楷体"/>
          <w:b w:val="0"/>
          <w:bCs w:val="0"/>
          <w:sz w:val="21"/>
          <w:szCs w:val="21"/>
          <w:lang w:val="en-US" w:eastAsia="zh-CN"/>
          <w:color w:val="ed6c00"/>
        </w:rPr>
        <w:t>（注：以下内容由AlphaGPT人工智能生成,仅供参考,不构成正式的法律意见和建议,请您注意甄别）</w:t>
      </w:r>
    </w:p>
    <w:p ns2:paraId="7466A57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ns2:paraId="687FEEC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Hans"/>
        </w:rPr>
        <w:t>关于《服务协议》的审查意见书</w:t>
      </w:r>
    </w:p>
    <w:p ns2:paraId="7466A57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ns2:paraId="4D439DF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致：</w:t>
      </w:r>
      <w:r>
        <w:rPr>
          <w:rFonts w:hint="eastAsia" w:ascii="楷体" w:hAnsi="楷体" w:eastAsia="楷体" w:cs="楷体"/>
          <w:b w:val="0"/>
          <w:bCs w:val="0"/>
          <w:sz w:val="21"/>
          <w:szCs w:val="21"/>
          <w:lang w:val="en-US" w:eastAsia="zh-CN"/>
        </w:rPr>
        <w:t>--</w:t>
      </w:r>
    </w:p>
    <w:p ns2:paraId="260E1E4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highlight w:val="none"/>
          <w:lang w:val="en-US" w:eastAsia="zh-CN"/>
        </w:rPr>
      </w:pPr>
      <w:r>
        <w:rPr>
          <w:rFonts w:hint="eastAsia" w:ascii="楷体" w:hAnsi="楷体" w:eastAsia="楷体" w:cs="楷体"/>
          <w:b w:val="0"/>
          <w:bCs w:val="0"/>
          <w:sz w:val="21"/>
          <w:szCs w:val="21"/>
          <w:lang w:val="en-US" w:eastAsia="zh-CN"/>
        </w:rPr>
        <w:t>就--拟与无锡质鼎技术咨询服务有限公司</w:t>
      </w:r>
      <w:r>
        <w:rPr>
          <w:rFonts w:hint="eastAsia" w:ascii="楷体" w:hAnsi="楷体" w:eastAsia="楷体" w:cs="楷体"/>
          <w:b w:val="0"/>
          <w:bCs w:val="0"/>
          <w:sz w:val="21"/>
          <w:szCs w:val="21"/>
          <w:lang w:val="en-US" w:eastAsia="zh-Hans"/>
        </w:rPr>
        <w:t>签订的《服务协议》进行法律审查。</w:t>
      </w:r>
      <w:r>
        <w:rPr>
          <w:rFonts w:hint="default" w:ascii="楷体" w:hAnsi="楷体" w:eastAsia="楷体" w:cs="楷体"/>
          <w:b w:val="0"/>
          <w:bCs w:val="0"/>
          <w:sz w:val="21"/>
          <w:szCs w:val="21"/>
          <w:lang w:eastAsia="zh-CN"/>
        </w:rPr>
        <w:t>根据《中华人民共和国民法典》等相关法律、法规、业务规则等有关规定出具如下合同审查意见书。</w:t>
      </w:r>
      <w:r>
        <w:rPr>
          <w:rFonts w:hint="eastAsia" w:ascii="楷体" w:hAnsi="楷体" w:eastAsia="楷体" w:cs="楷体"/>
          <w:b w:val="0"/>
          <w:bCs w:val="0"/>
          <w:sz w:val="21"/>
          <w:szCs w:val="21"/>
          <w:highlight w:val="none"/>
          <w:lang w:val="en-US" w:eastAsia="zh-CN"/>
        </w:rPr>
        <w:t xml:space="preserve"> </w:t>
      </w:r>
    </w:p>
    <w:p ns2:paraId="7C9C133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highlight w:val="none"/>
          <w:lang w:val="en-US" w:eastAsia="zh-CN"/>
        </w:rPr>
      </w:pPr>
    </w:p>
    <w:p ns2:paraId="55869EB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rPr>
      </w:pPr>
      <w:r>
        <w:rPr>
          <w:rFonts w:hint="eastAsia" w:ascii="楷体" w:hAnsi="楷体" w:eastAsia="楷体" w:cs="楷体"/>
          <w:b/>
          <w:bCs/>
          <w:sz w:val="21"/>
          <w:szCs w:val="21"/>
          <w:lang w:val="en-US" w:eastAsia="zh-Hans"/>
        </w:rPr>
        <w:t>一、主体审查意见</w:t>
      </w:r>
    </w:p>
    <w:tbl>
      <w:tblPr>
        <w:tblStyle w:val="13"/>
        <w:tblW w:w="4726" w:type="pct"/>
        <w:tblInd w:w="4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7"/>
        <w:gridCol w:w="2011"/>
        <w:gridCol w:w="4547"/>
      </w:tblGrid>
      <w:tr ns2:paraId="39CE697D">
        <w:tc>
          <w:tcPr>
            <w:tcW w:w="929" w:type="pct"/>
            <w:shd w:val="clear" w:color="auto" w:fill="D9D9D9"/>
          </w:tcPr>
          <w:p ns2:paraId="08693199">
            <w:pPr>
              <w:rPr>
                <w:rFonts w:hint="default" w:ascii="Times New Roman" w:hAnsi="Times New Roman" w:eastAsia="楷体" w:cs="Arial"/>
                <w:b w:val="0"/>
                <w:bCs w:val="0"/>
                <w:lang w:eastAsia="zh-Hans"/>
              </w:rPr>
            </w:pPr>
            <w:r>
              <w:rPr>
                <w:rFonts w:hint="eastAsia" w:ascii="Times New Roman" w:hAnsi="Times New Roman" w:eastAsia="楷体" w:cs="Arial"/>
                <w:b w:val="0"/>
                <w:bCs w:val="0"/>
              </w:rPr>
              <w:t>对方主体</w:t>
            </w:r>
          </w:p>
        </w:tc>
        <w:tc>
          <w:tcPr>
            <w:tcW w:w="4070" w:type="pct"/>
            <w:gridSpan w:val="2"/>
          </w:tcPr>
          <w:p ns2:paraId="1DEA1459">
            <w:pPr>
              <w:rPr>
                <w:rFonts w:hint="default" w:ascii="Times New Roman" w:hAnsi="Times New Roman" w:eastAsia="楷体" w:cs="Arial"/>
                <w:b w:val="0"/>
                <w:bCs w:val="0"/>
              </w:rPr>
            </w:pPr>
            <w:r>
              <w:rPr>
                <w:rFonts w:hint="default" w:ascii="Times New Roman" w:hAnsi="Times New Roman" w:eastAsia="楷体" w:cs="Arial"/>
                <w:b w:val="0"/>
                <w:bCs w:val="0"/>
              </w:rPr>
              <w:t>无锡质鼎技术咨询服务有限公司</w:t>
            </w:r>
          </w:p>
        </w:tc>
      </w:tr>
      <w:tr ns2:paraId="32CE1357">
        <w:tc>
          <w:tcPr>
            <w:tcW w:w="929" w:type="pct"/>
            <w:vMerge w:val="restart"/>
            <w:shd w:val="clear" w:color="auto" w:fill="D9D9D9"/>
          </w:tcPr>
          <w:p ns2:paraId="056ACFA2">
            <w:pPr>
              <w:rPr>
                <w:rFonts w:ascii="Times New Roman" w:hAnsi="Times New Roman" w:eastAsia="楷体" w:cs="Arial"/>
                <w:b w:val="0"/>
                <w:bCs w:val="0"/>
              </w:rPr>
            </w:pPr>
            <w:r>
              <w:rPr>
                <w:rFonts w:hint="eastAsia" w:ascii="Times New Roman" w:hAnsi="Times New Roman" w:eastAsia="楷体" w:cs="Arial"/>
                <w:b w:val="0"/>
                <w:bCs w:val="0"/>
              </w:rPr>
              <w:t>基本信息审查</w:t>
            </w:r>
          </w:p>
        </w:tc>
        <w:tc>
          <w:tcPr>
            <w:tcW w:w="1248" w:type="pct"/>
          </w:tcPr>
          <w:p ns2:paraId="40AB62E3">
            <w:pPr>
              <w:rPr>
                <w:rFonts w:ascii="Times New Roman" w:hAnsi="Times New Roman" w:eastAsia="楷体" w:cs="Arial"/>
                <w:b w:val="0"/>
                <w:bCs w:val="0"/>
              </w:rPr>
            </w:pPr>
            <w:r>
              <w:rPr>
                <w:rFonts w:hint="eastAsia" w:ascii="Times New Roman" w:hAnsi="Times New Roman" w:eastAsia="楷体" w:cs="Arial"/>
                <w:b w:val="0"/>
                <w:bCs w:val="0"/>
              </w:rPr>
              <w:t>统一社会信用代码</w:t>
            </w:r>
          </w:p>
        </w:tc>
        <w:tc>
          <w:tcPr>
            <w:tcW w:w="2822" w:type="pct"/>
            <w:shd w:val="clear" w:color="auto" w:fill="auto"/>
          </w:tcPr>
          <w:p ns2:paraId="35226B93">
            <w:pPr>
              <w:keepNext w:val="0"/>
              <w:keepLines w:val="0"/>
              <w:widowControl/>
              <w:suppressLineNumbers w:val="0"/>
              <w:jc w:val="left"/>
              <w:rPr>
                <w:rFonts w:ascii="Times New Roman" w:hAnsi="Times New Roman" w:eastAsia="楷体" w:cs="Arial"/>
              </w:rPr>
            </w:pPr>
            <w:r>
              <w:rPr>
                <w:rFonts w:hint="eastAsia" w:ascii="Times New Roman" w:hAnsi="Times New Roman" w:eastAsia="楷体" w:cs="Arial"/>
                <w:b w:val="0"/>
                <w:bCs w:val="0"/>
                <w:lang w:val="en-US" w:eastAsia="zh-CN"/>
              </w:rPr>
              <w:t>91320213MA26PRAE4E</w:t>
            </w:r>
          </w:p>
        </w:tc>
      </w:tr>
      <w:tr ns2:paraId="3A87B8B2">
        <w:tc>
          <w:tcPr>
            <w:tcW w:w="929" w:type="pct"/>
            <w:vMerge w:val="continue"/>
            <w:shd w:val="clear" w:color="auto" w:fill="D9D9D9"/>
          </w:tcPr>
          <w:p ns2:paraId="7172339D">
            <w:pPr>
              <w:rPr>
                <w:rFonts w:ascii="Times New Roman" w:hAnsi="Times New Roman" w:eastAsia="楷体" w:cs="Arial"/>
                <w:b w:val="0"/>
                <w:bCs w:val="0"/>
              </w:rPr>
            </w:pPr>
          </w:p>
        </w:tc>
        <w:tc>
          <w:tcPr>
            <w:tcW w:w="1248" w:type="pct"/>
          </w:tcPr>
          <w:p ns2:paraId="61F3F588">
            <w:pPr>
              <w:rPr>
                <w:rFonts w:ascii="Times New Roman" w:hAnsi="Times New Roman" w:eastAsia="楷体" w:cs="Arial"/>
                <w:b w:val="0"/>
                <w:bCs w:val="0"/>
              </w:rPr>
            </w:pPr>
            <w:r>
              <w:rPr>
                <w:rFonts w:hint="eastAsia" w:ascii="Times New Roman" w:hAnsi="Times New Roman" w:eastAsia="楷体" w:cs="Arial"/>
                <w:b w:val="0"/>
                <w:bCs w:val="0"/>
              </w:rPr>
              <w:t>法定代表人</w:t>
            </w:r>
          </w:p>
        </w:tc>
        <w:tc>
          <w:tcPr>
            <w:tcW w:w="2822" w:type="pct"/>
            <w:shd w:val="clear" w:color="auto" w:fill="auto"/>
          </w:tcPr>
          <w:p ns2:paraId="4651E774">
            <w:pPr>
              <w:rPr>
                <w:rFonts w:hint="eastAsia" w:ascii="Times New Roman" w:hAnsi="Times New Roman" w:eastAsia="楷体" w:cs="Arial"/>
                <w:lang w:val="en-US" w:eastAsia="zh-Hans"/>
              </w:rPr>
            </w:pPr>
            <w:r>
              <w:rPr>
                <w:rFonts w:hint="eastAsia" w:ascii="Times New Roman" w:hAnsi="Times New Roman" w:eastAsia="楷体" w:cs="Arial"/>
                <w:lang w:val="en-US" w:eastAsia="zh-CN"/>
              </w:rPr>
              <w:t>李才云</w:t>
            </w:r>
          </w:p>
        </w:tc>
      </w:tr>
      <w:tr ns2:paraId="00DDA21B">
        <w:tc>
          <w:tcPr>
            <w:tcW w:w="929" w:type="pct"/>
            <w:vMerge w:val="continue"/>
            <w:shd w:val="clear" w:color="auto" w:fill="D9D9D9"/>
          </w:tcPr>
          <w:p ns2:paraId="5BD36A34">
            <w:pPr>
              <w:rPr>
                <w:rFonts w:ascii="Times New Roman" w:hAnsi="Times New Roman" w:eastAsia="楷体" w:cs="Arial"/>
                <w:b w:val="0"/>
                <w:bCs w:val="0"/>
              </w:rPr>
            </w:pPr>
          </w:p>
        </w:tc>
        <w:tc>
          <w:tcPr>
            <w:tcW w:w="1248" w:type="pct"/>
          </w:tcPr>
          <w:p ns2:paraId="094340C1">
            <w:pPr>
              <w:rPr>
                <w:rFonts w:ascii="Times New Roman" w:hAnsi="Times New Roman" w:eastAsia="楷体" w:cs="Arial"/>
                <w:b w:val="0"/>
                <w:bCs w:val="0"/>
              </w:rPr>
            </w:pPr>
            <w:r>
              <w:rPr>
                <w:rFonts w:hint="eastAsia" w:ascii="Times New Roman" w:hAnsi="Times New Roman" w:eastAsia="楷体" w:cs="Arial"/>
                <w:b w:val="0"/>
                <w:bCs w:val="0"/>
              </w:rPr>
              <w:t>成立日期</w:t>
            </w:r>
          </w:p>
        </w:tc>
        <w:tc>
          <w:tcPr>
            <w:tcW w:w="2822" w:type="pct"/>
            <w:shd w:val="clear" w:color="auto" w:fill="auto"/>
          </w:tcPr>
          <w:p ns2:paraId="465DA2D1">
            <w:pPr>
              <w:rPr>
                <w:rFonts w:hint="eastAsia" w:ascii="Times New Roman" w:hAnsi="Times New Roman" w:eastAsia="楷体" w:cs="Arial"/>
                <w:lang w:val="en-US" w:eastAsia="zh-Hans"/>
              </w:rPr>
            </w:pPr>
            <w:r>
              <w:rPr>
                <w:rFonts w:hint="eastAsia" w:ascii="Times New Roman" w:hAnsi="Times New Roman" w:eastAsia="楷体" w:cs="Arial"/>
                <w:lang w:val="en-US" w:eastAsia="zh-CN"/>
              </w:rPr>
              <w:t>2021-08-04</w:t>
            </w:r>
          </w:p>
        </w:tc>
      </w:tr>
      <w:tr ns2:paraId="2FBE7C54">
        <w:tc>
          <w:tcPr>
            <w:tcW w:w="929" w:type="pct"/>
            <w:vMerge w:val="continue"/>
            <w:shd w:val="clear" w:color="auto" w:fill="D9D9D9"/>
          </w:tcPr>
          <w:p ns2:paraId="2FED4228">
            <w:pPr>
              <w:rPr>
                <w:rFonts w:ascii="Times New Roman" w:hAnsi="Times New Roman" w:eastAsia="楷体" w:cs="Arial"/>
                <w:b w:val="0"/>
                <w:bCs w:val="0"/>
              </w:rPr>
            </w:pPr>
          </w:p>
        </w:tc>
        <w:tc>
          <w:tcPr>
            <w:tcW w:w="1248" w:type="pct"/>
          </w:tcPr>
          <w:p ns2:paraId="68E11C70">
            <w:pPr>
              <w:rPr>
                <w:rFonts w:ascii="Times New Roman" w:hAnsi="Times New Roman" w:eastAsia="楷体" w:cs="Arial"/>
                <w:b w:val="0"/>
                <w:bCs w:val="0"/>
              </w:rPr>
            </w:pPr>
            <w:r>
              <w:rPr>
                <w:rFonts w:hint="eastAsia" w:ascii="Times New Roman" w:hAnsi="Times New Roman" w:eastAsia="楷体" w:cs="Arial"/>
                <w:b w:val="0"/>
                <w:bCs w:val="0"/>
              </w:rPr>
              <w:t>注册资本</w:t>
            </w:r>
          </w:p>
        </w:tc>
        <w:tc>
          <w:tcPr>
            <w:tcW w:w="2822" w:type="pct"/>
            <w:shd w:val="clear" w:color="auto" w:fill="auto"/>
          </w:tcPr>
          <w:p ns2:paraId="31113989">
            <w:pPr>
              <w:rPr>
                <w:rFonts w:hint="eastAsia" w:ascii="Times New Roman" w:hAnsi="Times New Roman" w:eastAsia="楷体" w:cs="Arial"/>
                <w:lang w:val="en-US" w:eastAsia="zh-Hans"/>
              </w:rPr>
            </w:pPr>
            <w:r>
              <w:rPr>
                <w:rFonts w:hint="eastAsia" w:ascii="Times New Roman" w:hAnsi="Times New Roman" w:eastAsia="楷体" w:cs="Arial"/>
                <w:lang w:val="en-US" w:eastAsia="zh-CN"/>
              </w:rPr>
              <w:t>50万人民币</w:t>
            </w:r>
          </w:p>
        </w:tc>
      </w:tr>
      <w:tr ns2:paraId="55AECC32">
        <w:tc>
          <w:tcPr>
            <w:tcW w:w="929" w:type="pct"/>
            <w:vMerge w:val="continue"/>
            <w:shd w:val="clear" w:color="auto" w:fill="D9D9D9"/>
          </w:tcPr>
          <w:p ns2:paraId="566AC663">
            <w:pPr>
              <w:rPr>
                <w:rFonts w:ascii="Times New Roman" w:hAnsi="Times New Roman" w:eastAsia="楷体" w:cs="Arial"/>
                <w:b w:val="0"/>
                <w:bCs w:val="0"/>
              </w:rPr>
            </w:pPr>
          </w:p>
        </w:tc>
        <w:tc>
          <w:tcPr>
            <w:tcW w:w="1248" w:type="pct"/>
          </w:tcPr>
          <w:p ns2:paraId="761C7C3A">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实缴资本</w:t>
            </w:r>
          </w:p>
        </w:tc>
        <w:tc>
          <w:tcPr>
            <w:tcW w:w="2822" w:type="pct"/>
            <w:shd w:val="clear" w:color="auto" w:fill="auto"/>
          </w:tcPr>
          <w:p ns2:paraId="1911DE77">
            <w:pPr>
              <w:rPr>
                <w:rFonts w:hint="eastAsia" w:ascii="Times New Roman" w:hAnsi="Times New Roman" w:eastAsia="楷体" w:cs="Arial"/>
                <w:lang w:val="en-US" w:eastAsia="zh-Hans"/>
              </w:rPr>
            </w:pPr>
            <w:r>
              <w:rPr>
                <w:rFonts w:hint="eastAsia" w:ascii="Times New Roman" w:hAnsi="Times New Roman" w:eastAsia="楷体" w:cs="Arial"/>
                <w:lang w:val="en-US" w:eastAsia="zh-CN"/>
              </w:rPr>
              <w:t/>
            </w:r>
          </w:p>
        </w:tc>
      </w:tr>
      <w:tr ns2:paraId="5045FBD3">
        <w:tc>
          <w:tcPr>
            <w:tcW w:w="929" w:type="pct"/>
            <w:vMerge w:val="continue"/>
            <w:shd w:val="clear" w:color="auto" w:fill="D9D9D9"/>
          </w:tcPr>
          <w:p ns2:paraId="4806381E">
            <w:pPr>
              <w:rPr>
                <w:rFonts w:ascii="Times New Roman" w:hAnsi="Times New Roman" w:eastAsia="楷体" w:cs="Arial"/>
                <w:b w:val="0"/>
                <w:bCs w:val="0"/>
              </w:rPr>
            </w:pPr>
          </w:p>
        </w:tc>
        <w:tc>
          <w:tcPr>
            <w:tcW w:w="1248" w:type="pct"/>
          </w:tcPr>
          <w:p ns2:paraId="32E1AB68">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人员规模</w:t>
            </w:r>
          </w:p>
        </w:tc>
        <w:tc>
          <w:tcPr>
            <w:tcW w:w="2822" w:type="pct"/>
            <w:shd w:val="clear" w:color="auto" w:fill="auto"/>
          </w:tcPr>
          <w:p ns2:paraId="1638BD4C">
            <w:pPr>
              <w:rPr>
                <w:rFonts w:hint="eastAsia" w:ascii="Times New Roman" w:hAnsi="Times New Roman" w:eastAsia="楷体" w:cs="Arial"/>
                <w:lang w:val="en-US" w:eastAsia="zh-Hans"/>
              </w:rPr>
            </w:pPr>
            <w:r>
              <w:rPr>
                <w:rFonts w:hint="eastAsia" w:ascii="Times New Roman" w:hAnsi="Times New Roman" w:eastAsia="楷体" w:cs="Arial"/>
                <w:lang w:val="en-US" w:eastAsia="zh-CN"/>
              </w:rPr>
              <w:t>--</w:t>
            </w:r>
          </w:p>
        </w:tc>
      </w:tr>
      <w:tr ns2:paraId="3AA60B78">
        <w:tc>
          <w:tcPr>
            <w:tcW w:w="929" w:type="pct"/>
            <w:vMerge w:val="continue"/>
            <w:shd w:val="clear" w:color="auto" w:fill="D9D9D9"/>
          </w:tcPr>
          <w:p ns2:paraId="5A1D89D9">
            <w:pPr>
              <w:rPr>
                <w:rFonts w:ascii="Times New Roman" w:hAnsi="Times New Roman" w:eastAsia="楷体" w:cs="Arial"/>
                <w:b w:val="0"/>
                <w:bCs w:val="0"/>
              </w:rPr>
            </w:pPr>
          </w:p>
        </w:tc>
        <w:tc>
          <w:tcPr>
            <w:tcW w:w="1248" w:type="pct"/>
          </w:tcPr>
          <w:p ns2:paraId="240F7BA8">
            <w:pPr>
              <w:rPr>
                <w:rFonts w:hint="default" w:ascii="Times New Roman" w:hAnsi="Times New Roman" w:eastAsia="楷体" w:cs="Arial"/>
                <w:lang w:val="en-US" w:eastAsia="zh-Hans"/>
              </w:rPr>
            </w:pPr>
            <w:r>
              <w:rPr>
                <w:rFonts w:hint="eastAsia" w:ascii="Times New Roman" w:hAnsi="Times New Roman" w:eastAsia="楷体" w:cs="Arial"/>
                <w:lang w:val="en-US" w:eastAsia="zh-Hans"/>
              </w:rPr>
              <w:t>注册地址</w:t>
            </w:r>
          </w:p>
        </w:tc>
        <w:tc>
          <w:tcPr>
            <w:tcW w:w="2822" w:type="pct"/>
            <w:shd w:val="clear" w:color="auto" w:fill="auto"/>
          </w:tcPr>
          <w:p ns2:paraId="61194814">
            <w:pPr>
              <w:rPr>
                <w:rFonts w:hint="eastAsia" w:ascii="Times New Roman" w:hAnsi="Times New Roman" w:eastAsia="楷体" w:cs="Arial"/>
                <w:lang w:val="en-US" w:eastAsia="zh-CN"/>
              </w:rPr>
            </w:pPr>
            <w:r>
              <w:rPr>
                <w:rFonts w:hint="eastAsia" w:ascii="Times New Roman" w:hAnsi="Times New Roman" w:eastAsia="楷体" w:cs="Arial"/>
                <w:lang w:val="en-US" w:eastAsia="zh-CN"/>
              </w:rPr>
              <w:t>无锡市梁溪区江海东路148号-176</w:t>
            </w:r>
          </w:p>
        </w:tc>
      </w:tr>
      <w:tr ns2:paraId="10B3BC7F">
        <w:tc>
          <w:tcPr>
            <w:tcW w:w="929" w:type="pct"/>
            <w:vMerge w:val="continue"/>
            <w:shd w:val="clear" w:color="auto" w:fill="D9D9D9"/>
          </w:tcPr>
          <w:p ns2:paraId="22CAEE48">
            <w:pPr>
              <w:rPr>
                <w:rFonts w:ascii="Times New Roman" w:hAnsi="Times New Roman" w:eastAsia="楷体" w:cs="Arial"/>
                <w:b w:val="0"/>
                <w:bCs w:val="0"/>
              </w:rPr>
            </w:pPr>
          </w:p>
        </w:tc>
        <w:tc>
          <w:tcPr>
            <w:tcW w:w="1248" w:type="pct"/>
          </w:tcPr>
          <w:p ns2:paraId="051551BC">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类型</w:t>
            </w:r>
          </w:p>
        </w:tc>
        <w:tc>
          <w:tcPr>
            <w:tcW w:w="2822" w:type="pct"/>
            <w:shd w:val="clear" w:color="auto" w:fill="auto"/>
          </w:tcPr>
          <w:p ns2:paraId="77E7FD2C">
            <w:pPr>
              <w:rPr>
                <w:rFonts w:hint="default" w:ascii="Times New Roman" w:hAnsi="Times New Roman" w:eastAsia="楷体" w:cs="Arial"/>
                <w:lang w:eastAsia="zh-Hans"/>
              </w:rPr>
            </w:pPr>
            <w:r>
              <w:rPr>
                <w:rFonts w:hint="eastAsia" w:ascii="Times New Roman" w:hAnsi="Times New Roman" w:eastAsia="楷体" w:cs="Arial"/>
                <w:lang w:val="en-US" w:eastAsia="zh-Hans"/>
              </w:rPr>
              <w:t>有限责任公司(自然人独资)</w:t>
            </w:r>
          </w:p>
        </w:tc>
      </w:tr>
      <w:tr ns2:paraId="0C3A4665">
        <w:tc>
          <w:tcPr>
            <w:tcW w:w="929" w:type="pct"/>
            <w:vMerge w:val="continue"/>
            <w:shd w:val="clear" w:color="auto" w:fill="D9D9D9"/>
          </w:tcPr>
          <w:p ns2:paraId="4DB5988B">
            <w:pPr>
              <w:rPr>
                <w:rFonts w:ascii="Times New Roman" w:hAnsi="Times New Roman" w:eastAsia="楷体" w:cs="Arial"/>
                <w:b w:val="0"/>
                <w:bCs w:val="0"/>
              </w:rPr>
            </w:pPr>
          </w:p>
        </w:tc>
        <w:tc>
          <w:tcPr>
            <w:tcW w:w="1248" w:type="pct"/>
          </w:tcPr>
          <w:p ns2:paraId="6B201A15">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经营状态</w:t>
            </w:r>
          </w:p>
        </w:tc>
        <w:tc>
          <w:tcPr>
            <w:tcW w:w="2822" w:type="pct"/>
            <w:shd w:val="clear" w:color="auto" w:fill="auto"/>
          </w:tcPr>
          <w:p ns2:paraId="6F3F36E7">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存续</w:t>
            </w:r>
          </w:p>
        </w:tc>
      </w:tr>
      <w:tr ns2:paraId="1AD4AA15">
        <w:tc>
          <w:tcPr>
            <w:tcW w:w="929" w:type="pct"/>
            <w:vMerge w:val="restart"/>
            <w:shd w:val="clear" w:color="auto" w:fill="D9D9D9"/>
          </w:tcPr>
          <w:p ns2:paraId="2A6EC717">
            <w:pPr>
              <w:rPr>
                <w:rFonts w:ascii="Times New Roman" w:hAnsi="Times New Roman" w:eastAsia="楷体" w:cs="Arial"/>
                <w:b w:val="0"/>
                <w:bCs w:val="0"/>
              </w:rPr>
            </w:pPr>
            <w:r>
              <w:rPr>
                <w:rFonts w:hint="eastAsia" w:ascii="Times New Roman" w:hAnsi="Times New Roman" w:eastAsia="楷体" w:cs="Arial"/>
                <w:b w:val="0"/>
                <w:bCs w:val="0"/>
              </w:rPr>
              <w:t>履约</w:t>
            </w:r>
            <w:r>
              <w:rPr>
                <w:rFonts w:hint="eastAsia" w:ascii="Times New Roman" w:hAnsi="Times New Roman" w:eastAsia="楷体" w:cs="Arial"/>
                <w:b w:val="0"/>
                <w:bCs w:val="0"/>
                <w:lang w:val="en-US" w:eastAsia="zh-Hans"/>
              </w:rPr>
              <w:t>风险</w:t>
            </w:r>
            <w:r>
              <w:rPr>
                <w:rFonts w:hint="eastAsia" w:ascii="Times New Roman" w:hAnsi="Times New Roman" w:eastAsia="楷体" w:cs="Arial"/>
                <w:b w:val="0"/>
                <w:bCs w:val="0"/>
              </w:rPr>
              <w:t>审查</w:t>
            </w:r>
          </w:p>
        </w:tc>
        <w:tc>
          <w:tcPr>
            <w:tcW w:w="1248" w:type="pct"/>
          </w:tcPr>
          <w:p ns2:paraId="4B5ED34F">
            <w:pPr>
              <w:rPr>
                <w:rFonts w:hint="default" w:ascii="Times New Roman" w:hAnsi="Times New Roman" w:eastAsia="楷体" w:cs="Arial"/>
                <w:lang w:eastAsia="zh-Hans"/>
              </w:rPr>
            </w:pPr>
            <w:r>
              <w:rPr>
                <w:rFonts w:hint="eastAsia" w:ascii="Times New Roman" w:hAnsi="Times New Roman" w:eastAsia="楷体" w:cs="Arial"/>
                <w:lang w:val="en-US" w:eastAsia="zh-Hans"/>
              </w:rPr>
              <w:t>被诉案例审查</w:t>
            </w:r>
          </w:p>
        </w:tc>
        <w:tc>
          <w:tcPr>
            <w:tcW w:w="2822" w:type="pct"/>
            <w:shd w:val="clear" w:color="auto" w:fill="auto"/>
          </w:tcPr>
          <w:p ns2:paraId="41E1626E">
            <w:pPr>
              <w:rPr>
                <w:rFonts w:hint="default" w:ascii="Times New Roman" w:hAnsi="Times New Roman" w:eastAsia="楷体" w:cs="Arial"/>
                <w:lang w:val="en-US" w:eastAsia="zh-Hans"/>
              </w:rPr>
            </w:pPr>
            <w:r>
              <w:rPr>
                <w:rFonts w:hint="eastAsia" w:ascii="楷体" w:hAnsi="楷体" w:eastAsia="楷体" w:cs="楷体"/>
                <w:sz w:val="21"/>
                <w:szCs w:val="21"/>
                <w:lang w:val="en-US" w:eastAsia="zh-CN"/>
                <w:color w:val="000000"/>
              </w:rPr>
              <w:t>不存在被诉案例信息，暂无相关风险</w:t>
            </w:r>
          </w:p>
        </w:tc>
      </w:tr>
      <w:tr ns2:paraId="1E45720A">
        <w:tc>
          <w:tcPr>
            <w:tcW w:w="929" w:type="pct"/>
            <w:vMerge w:val="continue"/>
            <w:shd w:val="clear" w:color="auto" w:fill="D9D9D9"/>
          </w:tcPr>
          <w:p ns2:paraId="478F27E6">
            <w:pPr>
              <w:rPr>
                <w:rFonts w:ascii="Times New Roman" w:hAnsi="Times New Roman" w:eastAsia="楷体" w:cs="Arial"/>
                <w:b w:val="0"/>
                <w:bCs w:val="0"/>
              </w:rPr>
            </w:pPr>
          </w:p>
        </w:tc>
        <w:tc>
          <w:tcPr>
            <w:tcW w:w="1248" w:type="pct"/>
          </w:tcPr>
          <w:p ns2:paraId="1FDA0482">
            <w:pPr>
              <w:rPr>
                <w:rFonts w:hint="default" w:ascii="Times New Roman" w:hAnsi="Times New Roman" w:eastAsia="楷体" w:cs="Arial"/>
                <w:lang w:val="en-US" w:eastAsia="zh-Hans"/>
              </w:rPr>
            </w:pPr>
            <w:r>
              <w:rPr>
                <w:rFonts w:hint="eastAsia" w:ascii="Times New Roman" w:hAnsi="Times New Roman" w:eastAsia="楷体" w:cs="Arial"/>
                <w:lang w:val="en-US" w:eastAsia="zh-Hans"/>
              </w:rPr>
              <w:t>失信信息审查</w:t>
            </w:r>
          </w:p>
        </w:tc>
        <w:tc>
          <w:tcPr>
            <w:tcW w:w="2822" w:type="pct"/>
            <w:shd w:val="clear" w:color="auto" w:fill="auto"/>
          </w:tcPr>
          <w:p ns2:paraId="28CFD4AB">
            <w:pPr>
              <w:rPr>
                <w:rFonts w:hint="default" w:ascii="Times New Roman" w:hAnsi="Times New Roman" w:eastAsia="楷体" w:cs="Arial"/>
                <w:lang w:eastAsia="zh-Hans"/>
              </w:rPr>
            </w:pPr>
            <w:r>
              <w:rPr>
                <w:rFonts w:hint="eastAsia" w:ascii="楷体" w:hAnsi="楷体" w:eastAsia="楷体" w:cs="楷体"/>
                <w:sz w:val="21"/>
                <w:szCs w:val="21"/>
                <w:lang w:val="en-US" w:eastAsia="zh-CN"/>
                <w:color w:val="000000"/>
              </w:rPr>
              <w:t>不存在失信信息，暂无相关风险</w:t>
            </w:r>
          </w:p>
        </w:tc>
      </w:tr>
      <w:tr ns2:paraId="076F5262">
        <w:tc>
          <w:tcPr>
            <w:tcW w:w="929" w:type="pct"/>
            <w:vMerge w:val="continue"/>
            <w:shd w:val="clear" w:color="auto" w:fill="D9D9D9"/>
          </w:tcPr>
          <w:p ns2:paraId="10D93214">
            <w:pPr>
              <w:rPr>
                <w:rFonts w:ascii="Times New Roman" w:hAnsi="Times New Roman" w:eastAsia="楷体" w:cs="Arial"/>
                <w:b w:val="0"/>
                <w:bCs w:val="0"/>
              </w:rPr>
            </w:pPr>
          </w:p>
        </w:tc>
        <w:tc>
          <w:tcPr>
            <w:tcW w:w="1248" w:type="pct"/>
          </w:tcPr>
          <w:p ns2:paraId="64F71E99">
            <w:pPr>
              <w:rPr>
                <w:rFonts w:hint="default" w:ascii="Times New Roman" w:hAnsi="Times New Roman" w:eastAsia="楷体" w:cs="Arial"/>
                <w:lang w:eastAsia="zh-Hans"/>
              </w:rPr>
            </w:pPr>
            <w:r>
              <w:rPr>
                <w:rFonts w:hint="eastAsia" w:ascii="Times New Roman" w:hAnsi="Times New Roman" w:eastAsia="楷体" w:cs="Arial"/>
                <w:lang w:val="en-US" w:eastAsia="zh-Hans"/>
              </w:rPr>
              <w:t>严重违法审查</w:t>
            </w:r>
          </w:p>
        </w:tc>
        <w:tc>
          <w:tcPr>
            <w:tcW w:w="2822" w:type="pct"/>
            <w:shd w:val="clear" w:color="auto" w:fill="auto"/>
          </w:tcPr>
          <w:p ns2:paraId="5755E1BB">
            <w:pPr>
              <w:rPr>
                <w:rFonts w:hint="default" w:ascii="Times New Roman" w:hAnsi="Times New Roman" w:eastAsia="楷体" w:cs="Arial"/>
                <w:lang w:eastAsia="zh-Hans"/>
              </w:rPr>
            </w:pPr>
            <w:r>
              <w:rPr>
                <w:rFonts w:hint="eastAsia" w:ascii="楷体" w:hAnsi="楷体" w:eastAsia="楷体" w:cs="楷体"/>
                <w:sz w:val="21"/>
                <w:szCs w:val="21"/>
                <w:lang w:val="en-US" w:eastAsia="zh-CN"/>
                <w:color w:val="000000"/>
              </w:rPr>
              <w:t>不存在严重违法信息，暂无相关风险</w:t>
            </w:r>
          </w:p>
        </w:tc>
      </w:tr>
      <w:tr ns2:paraId="07297C2D">
        <w:tc>
          <w:tcPr>
            <w:tcW w:w="929" w:type="pct"/>
            <w:vMerge w:val="continue"/>
            <w:shd w:val="clear" w:color="auto" w:fill="D9D9D9"/>
          </w:tcPr>
          <w:p ns2:paraId="055BACED">
            <w:pPr>
              <w:rPr>
                <w:rFonts w:ascii="Times New Roman" w:hAnsi="Times New Roman" w:eastAsia="楷体" w:cs="Arial"/>
                <w:b w:val="0"/>
                <w:bCs w:val="0"/>
              </w:rPr>
            </w:pPr>
          </w:p>
        </w:tc>
        <w:tc>
          <w:tcPr>
            <w:tcW w:w="1248" w:type="pct"/>
          </w:tcPr>
          <w:p ns2:paraId="06A521AB">
            <w:pPr>
              <w:rPr>
                <w:rFonts w:hint="default" w:ascii="Times New Roman" w:hAnsi="Times New Roman" w:eastAsia="楷体" w:cs="Arial"/>
                <w:lang w:eastAsia="zh-Hans"/>
              </w:rPr>
            </w:pPr>
            <w:r>
              <w:rPr>
                <w:rFonts w:hint="eastAsia" w:ascii="Times New Roman" w:hAnsi="Times New Roman" w:eastAsia="楷体" w:cs="Arial"/>
                <w:lang w:val="en-US" w:eastAsia="zh-Hans"/>
              </w:rPr>
              <w:t>行政处罚审查</w:t>
            </w:r>
          </w:p>
        </w:tc>
        <w:tc>
          <w:tcPr>
            <w:tcW w:w="2822" w:type="pct"/>
            <w:shd w:val="clear" w:color="auto" w:fill="auto"/>
          </w:tcPr>
          <w:p ns2:paraId="5A20B4B3">
            <w:pPr>
              <w:rPr>
                <w:rFonts w:hint="default" w:ascii="Times New Roman" w:hAnsi="Times New Roman" w:eastAsia="楷体" w:cs="Arial"/>
                <w:lang w:val="en-US" w:eastAsia="zh-Hans"/>
              </w:rPr>
            </w:pPr>
            <w:r>
              <w:rPr>
                <w:rFonts w:hint="eastAsia" w:ascii="楷体" w:hAnsi="楷体" w:eastAsia="楷体" w:cs="楷体"/>
                <w:sz w:val="21"/>
                <w:szCs w:val="21"/>
                <w:lang w:val="en-US" w:eastAsia="zh-CN"/>
                <w:color w:val="000000"/>
              </w:rPr>
              <w:t>不存在行政处罚信息，暂无相关风险</w:t>
            </w:r>
          </w:p>
        </w:tc>
      </w:tr>
      <w:tr ns2:paraId="4D04EC75">
        <w:tc>
          <w:tcPr>
            <w:tcW w:w="929" w:type="pct"/>
            <w:vMerge w:val="continue"/>
            <w:shd w:val="clear" w:color="auto" w:fill="D9D9D9"/>
          </w:tcPr>
          <w:p ns2:paraId="0B65C43D">
            <w:pPr>
              <w:rPr>
                <w:rFonts w:ascii="Times New Roman" w:hAnsi="Times New Roman" w:eastAsia="楷体" w:cs="Arial"/>
                <w:b w:val="0"/>
                <w:bCs w:val="0"/>
              </w:rPr>
            </w:pPr>
          </w:p>
        </w:tc>
        <w:tc>
          <w:tcPr>
            <w:tcW w:w="1248" w:type="pct"/>
          </w:tcPr>
          <w:p ns2:paraId="1D08785D">
            <w:pPr>
              <w:rPr>
                <w:rFonts w:ascii="Times New Roman" w:hAnsi="Times New Roman" w:eastAsia="楷体" w:cs="Arial"/>
                <w:b w:val="0"/>
                <w:bCs w:val="0"/>
              </w:rPr>
            </w:pPr>
            <w:r>
              <w:rPr>
                <w:rFonts w:hint="eastAsia" w:ascii="Times New Roman" w:hAnsi="Times New Roman" w:eastAsia="楷体" w:cs="Arial"/>
                <w:b w:val="0"/>
                <w:bCs w:val="0"/>
                <w:lang w:val="en-US" w:eastAsia="zh-Hans"/>
              </w:rPr>
              <w:t>经营异常审查</w:t>
            </w:r>
          </w:p>
        </w:tc>
        <w:tc>
          <w:tcPr>
            <w:tcW w:w="2822" w:type="pct"/>
            <w:shd w:val="clear" w:color="auto" w:fill="auto"/>
          </w:tcPr>
          <w:p ns2:paraId="349BD195">
            <w:pPr>
              <w:rPr>
                <w:rFonts w:ascii="Times New Roman" w:hAnsi="Times New Roman" w:eastAsia="楷体" w:cs="Arial"/>
              </w:rPr>
            </w:pPr>
            <w:r>
              <w:rPr>
                <w:rFonts w:hint="eastAsia" w:ascii="楷体" w:hAnsi="楷体" w:eastAsia="楷体" w:cs="楷体"/>
                <w:sz w:val="21"/>
                <w:szCs w:val="21"/>
                <w:lang w:val="en-US" w:eastAsia="zh-CN"/>
                <w:color w:val="000000"/>
              </w:rPr>
              <w:t>不存在经营异常信息，暂无相关风险</w:t>
            </w:r>
          </w:p>
        </w:tc>
      </w:tr>
      <w:tr ns2:paraId="734A93AC">
        <w:tc>
          <w:tcPr>
            <w:tcW w:w="929" w:type="pct"/>
            <w:vMerge w:val="continue"/>
            <w:shd w:val="clear" w:color="auto" w:fill="D9D9D9"/>
          </w:tcPr>
          <w:p ns2:paraId="6F36F334">
            <w:pPr>
              <w:rPr>
                <w:rFonts w:ascii="Times New Roman" w:hAnsi="Times New Roman" w:eastAsia="楷体" w:cs="Arial"/>
                <w:b w:val="0"/>
                <w:bCs w:val="0"/>
              </w:rPr>
            </w:pPr>
          </w:p>
        </w:tc>
        <w:tc>
          <w:tcPr>
            <w:tcW w:w="1248" w:type="pct"/>
          </w:tcPr>
          <w:p ns2:paraId="47709B1D">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司法拍卖审查</w:t>
            </w:r>
          </w:p>
        </w:tc>
        <w:tc>
          <w:tcPr>
            <w:tcW w:w="2822" w:type="pct"/>
            <w:shd w:val="clear" w:color="auto" w:fill="auto"/>
          </w:tcPr>
          <w:p ns2:paraId="0434F41B">
            <w:pPr>
              <w:rPr>
                <w:rFonts w:hint="default" w:ascii="Times New Roman" w:hAnsi="Times New Roman" w:eastAsia="楷体" w:cs="Arial"/>
                <w:lang w:val="en-US" w:eastAsia="zh-CN"/>
              </w:rPr>
            </w:pPr>
            <w:r>
              <w:rPr>
                <w:rFonts w:hint="eastAsia" w:ascii="楷体" w:hAnsi="楷体" w:eastAsia="楷体" w:cs="楷体"/>
                <w:sz w:val="21"/>
                <w:szCs w:val="21"/>
                <w:lang w:val="en-US" w:eastAsia="zh-CN"/>
                <w:color w:val="000000"/>
              </w:rPr>
              <w:t>不存在司法拍卖信息，暂无相关风险</w:t>
            </w:r>
          </w:p>
        </w:tc>
      </w:tr>
      <w:tr ns2:paraId="0F40FB2D">
        <w:tc>
          <w:tcPr>
            <w:tcW w:w="929" w:type="pct"/>
            <w:vMerge w:val="continue"/>
            <w:shd w:val="clear" w:color="auto" w:fill="D9D9D9"/>
          </w:tcPr>
          <w:p ns2:paraId="42D0DE9E">
            <w:pPr>
              <w:rPr>
                <w:rFonts w:ascii="Times New Roman" w:hAnsi="Times New Roman" w:eastAsia="楷体" w:cs="Arial"/>
                <w:b w:val="0"/>
                <w:bCs w:val="0"/>
              </w:rPr>
            </w:pPr>
          </w:p>
        </w:tc>
        <w:tc>
          <w:tcPr>
            <w:tcW w:w="1248" w:type="pct"/>
          </w:tcPr>
          <w:p ns2:paraId="7F6C6F69">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欠税公告审查</w:t>
            </w:r>
          </w:p>
        </w:tc>
        <w:tc>
          <w:tcPr>
            <w:tcW w:w="2822" w:type="pct"/>
            <w:shd w:val="clear" w:color="auto" w:fill="auto"/>
          </w:tcPr>
          <w:p ns2:paraId="79A82E7C">
            <w:pPr>
              <w:rPr>
                <w:rFonts w:hint="default" w:ascii="Times New Roman" w:hAnsi="Times New Roman" w:eastAsia="楷体" w:cs="Arial"/>
                <w:lang w:val="en-US" w:eastAsia="zh-CN"/>
              </w:rPr>
            </w:pPr>
            <w:r>
              <w:rPr>
                <w:rFonts w:hint="eastAsia" w:ascii="楷体" w:hAnsi="楷体" w:eastAsia="楷体" w:cs="楷体"/>
                <w:sz w:val="21"/>
                <w:szCs w:val="21"/>
                <w:lang w:val="en-US" w:eastAsia="zh-CN"/>
                <w:color w:val="000000"/>
              </w:rPr>
              <w:t>不存在欠税公告信息，暂无相关风险</w:t>
            </w:r>
          </w:p>
        </w:tc>
      </w:tr>
    </w:tbl>
    <w:p ns2:paraId="0E782210">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ns2:paraId="506C6AA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bCs/>
          <w:sz w:val="21"/>
          <w:szCs w:val="21"/>
          <w:lang w:val="en-US" w:eastAsia="zh-CN"/>
        </w:rPr>
        <w:t>二、合同内容</w:t>
      </w:r>
    </w:p>
    <w:p ns2:paraId="0B1BE734">
      <w:pPr>
        <w:keepNext w:val="0"/>
        <w:keepLines w:val="0"/>
        <w:pageBreakBefore w:val="0"/>
        <w:widowControl/>
        <w:suppressLineNumbers w:val="0"/>
        <w:kinsoku/>
        <w:wordWrap/>
        <w:overflowPunct/>
        <w:topLinePunct w:val="0"/>
        <w:autoSpaceDE/>
        <w:autoSpaceDN/>
        <w:bidi w:val="0"/>
        <w:adjustRightInd/>
        <w:snapToGrid/>
        <w:spacing w:afterAutospacing="0" w:line="440" w:lineRule="exact"/>
        <w:ind w:firstLine="420" w:firstLineChars="200"/>
        <w:jc w:val="left"/>
        <w:textAlignment w:val="auto"/>
        <w:rPr>
          <w:rFonts w:hint="default" w:ascii="楷体" w:hAnsi="楷体" w:eastAsia="楷体" w:cs="楷体"/>
          <w:b w:val="0"/>
          <w:bCs w:val="0"/>
          <w:sz w:val="21"/>
          <w:szCs w:val="21"/>
          <w:u w:val="none"/>
          <w:lang w:eastAsia="zh-CN"/>
        </w:rPr>
      </w:pPr>
      <w:r>
        <w:rPr>
          <w:rFonts w:hint="eastAsia" w:ascii="楷体" w:hAnsi="楷体" w:eastAsia="楷体" w:cs="楷体"/>
          <w:b w:val="0"/>
          <w:bCs w:val="0"/>
          <w:sz w:val="21"/>
          <w:szCs w:val="21"/>
          <w:u w:val="none"/>
        </w:rPr>
        <w:t>经审查，该协议</w:t>
      </w:r>
      <w:r>
        <w:rPr>
          <w:rFonts w:hint="eastAsia" w:ascii="楷体" w:hAnsi="楷体" w:eastAsia="楷体" w:cs="楷体"/>
          <w:b w:val="0"/>
          <w:bCs w:val="0"/>
          <w:sz w:val="21"/>
          <w:szCs w:val="21"/>
          <w:u w:val="none"/>
          <w:lang w:val="en-US" w:eastAsia="zh-Hans"/>
        </w:rPr>
        <w:t>中</w:t>
      </w:r>
      <w:r>
        <w:rPr>
          <w:rFonts w:hint="default" w:ascii="楷体" w:hAnsi="楷体" w:eastAsia="楷体" w:cs="楷体"/>
          <w:b w:val="0"/>
          <w:bCs w:val="0"/>
          <w:sz w:val="21"/>
          <w:szCs w:val="21"/>
          <w:u w:val="none"/>
          <w:lang w:eastAsia="zh-Hans"/>
        </w:rPr>
        <w:t>甲方负责支付服务费用，并有权监督乙方服务质量、了解升级进度，同时需对乙方接触到的商业秘密和技术信息承担保密义务。乙方需安排专业技术人员按约定时间和规范完成软件升级服务，保证服务质量，并对甲方商业秘密和技术信息保密。服务费用分两次支付，乙方按约定时间提供发票，甲方收到发票后5个工作日内付款。若乙方未按约定完成服务或服务质量不达标，需承担赔偿责任，甲方可解除合同并要求退还已付费用。双方违反保密义务需承担全部赔偿责任。争议优先协商解决，协商不成可向甲方所在地法院诉讼。</w:t>
      </w:r>
    </w:p>
    <w:p ns2:paraId="49745BA5">
      <w:pPr>
        <w:keepNext w:val="0"/>
        <w:keepLines w:val="0"/>
        <w:pageBreakBefore w:val="0"/>
        <w:widowControl/>
        <w:suppressLineNumbers w:val="0"/>
        <w:kinsoku/>
        <w:wordWrap/>
        <w:overflowPunct/>
        <w:topLinePunct w:val="0"/>
        <w:autoSpaceDE/>
        <w:autoSpaceDN/>
        <w:bidi w:val="0"/>
        <w:adjustRightInd/>
        <w:snapToGrid/>
        <w:spacing w:afterAutospacing="0" w:line="440" w:lineRule="exact"/>
        <w:ind w:firstLine="420" w:firstLineChars="200"/>
        <w:jc w:val="left"/>
        <w:textAlignment w:val="auto"/>
        <w:rPr>
          <w:rFonts w:hint="eastAsia" w:ascii="楷体" w:hAnsi="楷体" w:eastAsia="楷体" w:cs="楷体"/>
          <w:b w:val="0"/>
          <w:bCs w:val="0"/>
          <w:sz w:val="21"/>
          <w:szCs w:val="21"/>
          <w:u w:val="none"/>
        </w:rPr>
      </w:pPr>
    </w:p>
    <w:p ns2:paraId="170D39D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楷体" w:hAnsi="楷体" w:eastAsia="楷体" w:cs="楷体"/>
          <w:b/>
          <w:bCs/>
          <w:sz w:val="21"/>
          <w:szCs w:val="21"/>
          <w:lang w:val="en-US" w:eastAsia="zh-Hans"/>
        </w:rPr>
      </w:pPr>
      <w:r>
        <w:rPr>
          <w:rFonts w:hint="eastAsia" w:ascii="楷体" w:hAnsi="楷体" w:eastAsia="楷体" w:cs="楷体"/>
          <w:b/>
          <w:bCs/>
          <w:sz w:val="21"/>
          <w:szCs w:val="21"/>
          <w:lang w:val="en-US" w:eastAsia="zh-CN"/>
        </w:rPr>
        <w:t>三、合同重要风险提示</w:t>
      </w:r>
    </w:p>
    <w:p ns2:paraId="19B0C1CF">
      <w:pPr>
        <w:keepNext w:val="0"/>
        <w:keepLines w:val="0"/>
        <w:pageBreakBefore w:val="0"/>
        <w:widowControl w:val="0"/>
        <w:kinsoku/>
        <w:wordWrap/>
        <w:overflowPunct/>
        <w:topLinePunct w:val="0"/>
        <w:autoSpaceDE/>
        <w:autoSpaceDN/>
        <w:bidi w:val="0"/>
        <w:adjustRightInd/>
        <w:snapToGrid/>
        <w:spacing w:line="300" w:lineRule="auto"/>
        <w:ind w:firstLine="420" w:firstLineChars="0"/>
        <w:jc w:val="left"/>
        <w:textAlignment w:val="auto"/>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 xml:space="preserve"> 为保障</w:t>
      </w:r>
      <w:r>
        <w:rPr>
          <w:rFonts w:hint="eastAsia" w:ascii="楷体" w:hAnsi="楷体" w:eastAsia="楷体" w:cs="楷体"/>
          <w:b w:val="0"/>
          <w:bCs w:val="0"/>
          <w:sz w:val="21"/>
          <w:szCs w:val="21"/>
          <w:lang w:val="en-US" w:eastAsia="zh-Hans"/>
        </w:rPr>
        <w:t>我方的合法权益，就具体条款的详细修改见附件：</w:t>
      </w:r>
      <w:r>
        <w:rPr>
          <w:rFonts w:hint="eastAsia" w:ascii="楷体" w:hAnsi="楷体" w:eastAsia="楷体" w:cs="楷体"/>
          <w:b w:val="0"/>
          <w:bCs w:val="0"/>
          <w:highlight w:val="none"/>
          <w:lang w:val="en-US" w:eastAsia="zh-CN"/>
        </w:rPr>
        <w:t>关于《服务协议》详细审查意见（共14条）。</w:t>
      </w:r>
      <w:r>
        <w:rPr>
          <w:rFonts w:hint="eastAsia" w:ascii="楷体" w:hAnsi="楷体" w:eastAsia="楷体" w:cs="楷体"/>
          <w:b w:val="0"/>
          <w:bCs w:val="0"/>
          <w:sz w:val="21"/>
          <w:szCs w:val="21"/>
          <w:lang w:val="en-US" w:eastAsia="zh-CN"/>
        </w:rPr>
        <w:t>以下对重要风险向我方作出提醒：</w:t>
      </w:r>
    </w:p>
    <w:p ns2:paraId="7B7AAA3D">
      <w:pPr>
        <w:keepNext w:val="0"/>
        <w:keepLines w:val="0"/>
        <w:pageBreakBefore w:val="0"/>
        <w:widowControl w:val="0"/>
        <w:kinsoku/>
        <w:wordWrap/>
        <w:overflowPunct/>
        <w:topLinePunct w:val="0"/>
        <w:autoSpaceDE/>
        <w:autoSpaceDN/>
        <w:bidi w:val="0"/>
        <w:adjustRightInd/>
        <w:snapToGrid/>
        <w:spacing w:line="300" w:lineRule="auto"/>
        <w:ind w:firstLine="420" w:firstLineChars="0"/>
        <w:jc w:val="left"/>
        <w:textAlignment w:val="auto"/>
        <w:rPr>
          <w:rFonts w:hint="eastAsia" w:ascii="楷体" w:hAnsi="楷体" w:eastAsia="楷体" w:cs="楷体"/>
          <w:b w:val="0"/>
          <w:bCs w:val="0"/>
          <w:sz w:val="21"/>
          <w:szCs w:val="21"/>
          <w:lang w:val="en-US" w:eastAsia="zh-CN"/>
        </w:rPr>
      </w:pP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1.合同效力瑕疵风险</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具体条款：合同首部甲方主体信息缺失（甲方： \n法定代表人： \n地址：），甲方名称、法定代表人及地址均为空。</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风险说明：合同主体身份不明确，影响合同效力、通知送达及争议解决条款的适用，可能导致合同无法生效或权利义务无法主张。</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修改建议：必须补充完整甲方名称、法定代表人及地址信息，以确保合同履行和权利主张。</w:t>
      </w:r>
    </w:p>
    <w:p ns2:paraId="551F1F6F">
      <w:pPr>
        <w:rPr>
          <w:rFonts w:hint="eastAsia"/>
        </w:rPr>
      </w:pP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2.核心权利义务不明及履约保障不足风险</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具体条款：服务内容及质量标准、服务完成时间、服务验收标准、甲方整改权、乙方违约责任等条款存在约定不明或缺失（如“服务完成时间：至 2026年03月31日前”、“甲方有权要求乙方按照本协议约定提供售后服务，对乙方的服务质量进行监督、提出意见和建议；在服务过程中，有权了解升级过程、进度等相关信息。对乙方在服务过程中接触到的甲方商业秘密、技术信息等承担保密义务。”等）。</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风险说明：服务完成时间、逾期认定标准、服务质量标准、验收标准、整改权及违约责任等未明确，导致甲方难以追究乙方违约责任，存在履约争议及服务质量无法保障的重大风险。</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修改建议：建议明确服务完成时间表述，细化逾期认定标准；补充具体服务质量验收标准或方法；删除将乙方保密义务列入甲方权利的表述，明确甲方对不合格服务的整改权及违约责任追究程序。</w:t>
      </w:r>
    </w:p>
    <w:p ns2:paraId="551F1F6F">
      <w:pPr>
        <w:rPr>
          <w:rFonts w:hint="eastAsia"/>
        </w:rPr>
      </w:pP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3.付款与服务进度、验收挂钩不明及经济损失风险</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具体条款：服务费用金额及付款节点未明确，且未与服务进度及验收结果挂钩（如“本协议约定的服务范围，2026年1月20日前，乙方提供______元服务费用发票，甲方收到发票后5个工作日内向乙方支付               元；2026年2月5日前，乙方提供______元服务费用发票，甲方收到发票后5个工作日内向乙方支付               元。”）。</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风险说明：付款金额、节点及与服务进度、验收结果的关联均未明确，易导致付款争议，甲方利益受损，存在重大经济损失风险。</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修改建议：应补充具体金额，并将付款节点与服务进度、验收结果挂钩，明确各付款节点对应的服务完成比例，避免履约争议。</w:t>
      </w:r>
    </w:p>
    <w:p ns2:paraId="551F1F6F">
      <w:pPr>
        <w:rPr>
          <w:rFonts w:hint="eastAsia"/>
        </w:rPr>
      </w:pP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4.乙方境外服务人员管理及法律责任风险</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乙方境外服务团队管理责任、技术人员资质、当地法律责任等未明确（如“乙方在服务过程中，有权要求甲方提供必要的配合和相关资料；配备专业的技术人员，为甲方提供专业、高效、优质的服务；严格遵守服务规范和操作流程，保证服务质量；在服务过程中，不得损坏甲方的其他财产，如因乙方原因造成甲方财产损失的，应承担赔偿责任；对服务过程中接触到的甲方商业秘密、技术信息等承担保密义务，不得向任何第三方泄露。”）。</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风险说明：未明确乙方对境外服务人员的管理责任、技术人员资质及更换机制，亦未约定乙方需遵守当地法律法规，可能导致甲方因乙方人员原因承担不必要的法律风险及经济损失。</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修改建议：补充乙方负责其派出服务人员在坦桑尼亚的签证办理、当地法律法规遵守及人员安全保障，明确因乙方人员原因导致的损失由乙方承担；明确技术人员资质及更换机制，确保服务团队专业性。</w:t>
      </w:r>
    </w:p>
    <w:p ns2:paraId="551F1F6F">
      <w:pPr>
        <w:rPr>
          <w:rFonts w:hint="eastAsia"/>
        </w:rPr>
      </w:pP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5.违约责任及免责条款不完善风险</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乙方逾期违约责任、违约金比例、解除权、免责条款及保密违约责任赔偿范围等未明确或表述不合理（如“若乙方未按照本协议约定的服务范围、时间提供服务，或服务质量不符合约定，给甲方造成损失的，乙方应承担相应的赔偿责任；情节严重的，甲方有权解除本协议，并要求乙方退还已支付的服务费用（如有）；”及“任何一方违反本协议约定的保密义务，泄露对方商业秘密或技术信息，给对方造成损失的，应承担全部赔偿责任；”）。</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风险说明：逾期违约责任、违约金比例、逾期解除协议的天数等关键参数未明确，保密违约责任赔偿范围过宽，缺乏免责条款，可能导致甲方承担过高风险或无法有效主张权利。</w:t>
      </w:r>
    </w:p>
    <w:p ns2: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修改建议：补充逾期违约金及解除权条款，明确违约金比例、逾期天数等关键参数；限定保密违约责任为“直接经济损失”；新增不可抗力、政策变化及设备自身问题等免责条款，明确责任分配，平衡双方风险。</w:t>
      </w:r>
    </w:p>
    <w:p ns2:paraId="551F1F6F">
      <w:pPr>
        <w:rPr>
          <w:rFonts w:hint="eastAsia"/>
        </w:rPr>
      </w:pPr>
    </w:p>
    <w:p ns2:paraId="790E577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综上，建议我方参考附件中的详细修改意见，对协议的部分条款作出修改后，</w:t>
        <w:t>再依合法程序予以签署。本律师的修改意见详见附件，供我方参考。</w:t>
      </w:r>
    </w:p>
    <w:p ns2:paraId="7B25D75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textAlignment w:val="auto"/>
        <w:rPr>
          <w:rFonts w:hint="eastAsia" w:ascii="楷体" w:hAnsi="楷体" w:eastAsia="楷体" w:cs="楷体"/>
          <w:b w:val="0"/>
          <w:bCs w:val="0"/>
          <w:sz w:val="21"/>
          <w:szCs w:val="21"/>
          <w:lang w:val="en-US" w:eastAsia="zh-CN"/>
        </w:rPr>
      </w:pPr>
    </w:p>
    <w:p ns2:paraId="34D7A6D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textAlignment w:val="auto"/>
        <w:rPr>
          <w:rFonts w:hint="eastAsia" w:ascii="楷体" w:hAnsi="楷体" w:eastAsia="楷体" w:cs="楷体"/>
          <w:b/>
          <w:bCs/>
          <w:sz w:val="21"/>
          <w:szCs w:val="21"/>
        </w:rPr>
      </w:pPr>
      <w:r>
        <w:rPr>
          <w:rFonts w:hint="eastAsia" w:ascii="楷体" w:hAnsi="楷体" w:eastAsia="楷体" w:cs="楷体"/>
          <w:b/>
          <w:bCs/>
          <w:sz w:val="21"/>
          <w:szCs w:val="21"/>
          <w:lang w:val="en-US" w:eastAsia="zh-CN"/>
        </w:rPr>
        <w:t>四、声明</w:t>
      </w:r>
    </w:p>
    <w:p ns2:paraId="13D55AE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1.本所及本律师以现行有效法律法规及委托方提供的资料和信息为基础，</w:t>
        <w:t>对委托方提供信息的真实性完整性和准确性予以重点关注；</w:t>
      </w:r>
      <w:r>
        <w:rPr>
          <w:rFonts w:hint="eastAsia" w:ascii="楷体" w:hAnsi="楷体" w:eastAsia="楷体" w:cs="楷体"/>
          <w:b w:val="0"/>
          <w:bCs w:val="0"/>
          <w:sz w:val="21"/>
          <w:szCs w:val="21"/>
        </w:rPr>
        <w:t>但如委托方提供的资料和信息因故意隐瞒或者疏忽致使其不真实、不准确或不完整，</w:t>
        <w:t>或后续法律法规变更或资料更新，则本意见书内容应进行相应修正，本所及本律师不应因此承担任何责任。</w:t>
      </w:r>
    </w:p>
    <w:p ns2:paraId="6741FE6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2.本意见书只供委托方进行参考所用，不能视为在司法过程中的法律文书或作证据使用。</w:t>
      </w:r>
    </w:p>
    <w:p ns2:paraId="546E742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3.本意见书一式两份，副本若干，其中一份交付委托方，一份由本律师备案归档。</w:t>
      </w:r>
    </w:p>
    <w:p ns2:paraId="49AE8A63">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lang w:eastAsia="zh-CN"/>
        </w:rPr>
      </w:pPr>
    </w:p>
    <w:p ns2:paraId="757BC46A">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lang w:eastAsia="zh-CN"/>
        </w:rPr>
      </w:pPr>
    </w:p>
    <w:p ns2:paraId="7CB22C5B">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rPr>
      </w:pPr>
      <w:r>
        <w:rPr>
          <w:rFonts w:hint="default" w:ascii="楷体" w:hAnsi="楷体" w:eastAsia="楷体" w:cs="楷体"/>
          <w:b w:val="0"/>
          <w:bCs w:val="0"/>
          <w:sz w:val="21"/>
          <w:szCs w:val="21"/>
          <w:lang w:eastAsia="zh-CN"/>
        </w:rPr>
        <w:t>2026年01月09日</w:t>
      </w:r>
    </w:p>
    <w:p ns2:paraId="33A722E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楷体" w:hAnsi="楷体" w:eastAsia="楷体" w:cs="楷体"/>
          <w:b w:val="0"/>
          <w:bCs w:val="0"/>
          <w:sz w:val="21"/>
          <w:szCs w:val="21"/>
        </w:rPr>
      </w:pPr>
    </w:p>
    <w:p ns2:paraId="4B6F09A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楷体" w:hAnsi="楷体" w:eastAsia="楷体" w:cs="楷体"/>
          <w:b w:val="0"/>
          <w:bCs w:val="0"/>
          <w:sz w:val="21"/>
          <w:szCs w:val="21"/>
          <w:highlight w:val="none"/>
          <w:lang w:val="en-US"/>
        </w:rPr>
      </w:pPr>
      <w:r>
        <w:rPr>
          <w:rFonts w:hint="default" w:ascii="楷体" w:hAnsi="楷体" w:eastAsia="楷体" w:cs="楷体"/>
          <w:b w:val="0"/>
          <w:bCs w:val="0"/>
          <w:sz w:val="21"/>
          <w:szCs w:val="21"/>
          <w:highlight w:val="none"/>
          <w:lang w:val="en-US"/>
        </w:rPr>
        <w:br w:type="page"/>
      </w:r>
    </w:p>
    <w:p ns2:paraId="3838F0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附件:关于《服务协议》详细审查意见（共14条）。</w:t>
      </w:r>
      <w:bookmarkStart w:id="0" w:name="_GoBack"/>
      <w:bookmarkEnd w:id="0"/>
    </w:p>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1、甲方主体信息缺失，需补充完整</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甲方： 
法定代表人： 
地址：</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无</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甲方名称、法定代表人及地址均为空，导致合同主体身份不明确，影响合同效力、通知送达及争议解决条款的适用。必须补充完整甲方名称、法定代表人及地址信息，以确保合同履行和权利主张。</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2、服务完成时间及逾期认定标准需细化</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服务完成时间：至 2026年03月31日前
5、服务内容简述：
5.1  服务期内，乙方安排人员在坦桑尼亚国家对甲方在客车上装配的253台播放器产品进行软件升级，服务截止时间之前完成全部车辆的软件升级工作。</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无</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建议在服务完成时间条款中明确乙方逾期完成单台或批量升级的具体认定标准，进一步细化履约要求，便于后续责任追究和争议解决。</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3、服务完成时间表述矛盾</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服务完成时间：至 2026年03月31日前</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服务完成时间：至</w:t>
            </w:r>
            <w:r>
              <w:rPr>
                <w:rFonts w:hint="eastAsia" w:ascii="楷体" w:hAnsi="楷体" w:eastAsia="楷体" w:cs="楷体"/>
              </w:rPr>
              <w:t>2026年03月31日</w:t>
            </w:r>
            <w:r>
              <w:rPr>
                <w:rFonts w:hint="eastAsia" w:ascii="楷体" w:hAnsi="楷体" w:eastAsia="楷体" w:cs="楷体"/>
                <w:color w:val="999999"/>
                <w:strike/>
              </w:rPr>
              <w:t>前</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原条款'至 2026年03月31日前'中'至'与'前'语义冲突，表述不清晰，可能导致履约时间理解歧义。修改为'至2026年03月31日'，明确服务截止日期，避免履约争议。</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4、服务质量标准需明确</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甲方有权要求乙方按照本协议约定提供售后服务，对乙方的服务质量进行监督、提出意见和建议；在服务过程中，有权了解升级过程、进度等相关信息。对乙方在服务过程中接触到的甲方商业秘密、技术信息等承担保密义务。</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无</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服务质量”标准未在协议中明确界定，属于约定不明。若双方对服务质量是否达标产生争议，甲方将因缺乏明确的判断标准而难以追究乙方违约责任，存在履约风险。建议在协议中补充具体的服务质量验收标准或方法。</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5、甲方权利义务边界不清，缺乏服务整改权</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甲方有权要求乙方按照本协议约定提供售后服务，对乙方的服务质量进行监督、提出意见和建议；在服务过程中，有权了解升级过程、进度等相关信息。对乙方在服务过程中接触到的甲方商业秘密、技术信息等承担保密义务。</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甲方有权要求乙方按照本协议约定提供售后服务，对乙方的服务质量进行监督、提出意见和建议；在服务过程中，有权了解升级过程、进度等相关信息。</w:t>
            </w:r>
            <w:r>
              <w:rPr>
                <w:rFonts w:hint="eastAsia" w:ascii="楷体" w:hAnsi="楷体" w:eastAsia="楷体" w:cs="楷体"/>
                <w:color w:val="999999"/>
                <w:strike/>
              </w:rPr>
              <w:t>对</w:t>
            </w:r>
            <w:r>
              <w:rPr>
                <w:rFonts w:hint="eastAsia" w:ascii="楷体" w:hAnsi="楷体" w:eastAsia="楷体" w:cs="楷体"/>
                <w:color w:val="FF0000"/>
              </w:rPr>
              <w:t>若</w:t>
            </w:r>
            <w:r>
              <w:rPr>
                <w:rFonts w:hint="eastAsia" w:ascii="楷体" w:hAnsi="楷体" w:eastAsia="楷体" w:cs="楷体"/>
              </w:rPr>
              <w:t>乙方</w:t>
            </w:r>
            <w:r>
              <w:rPr>
                <w:rFonts w:hint="eastAsia" w:ascii="楷体" w:hAnsi="楷体" w:eastAsia="楷体" w:cs="楷体"/>
                <w:color w:val="999999"/>
                <w:strike/>
              </w:rPr>
              <w:t>在</w:t>
            </w:r>
            <w:r>
              <w:rPr>
                <w:rFonts w:hint="eastAsia" w:ascii="楷体" w:hAnsi="楷体" w:eastAsia="楷体" w:cs="楷体"/>
              </w:rPr>
              <w:t>服务</w:t>
            </w:r>
            <w:r>
              <w:rPr>
                <w:rFonts w:hint="eastAsia" w:ascii="楷体" w:hAnsi="楷体" w:eastAsia="楷体" w:cs="楷体"/>
                <w:color w:val="999999"/>
                <w:strike/>
              </w:rPr>
              <w:t>过程中接触到</w:t>
            </w:r>
            <w:r>
              <w:rPr>
                <w:rFonts w:hint="eastAsia" w:ascii="楷体" w:hAnsi="楷体" w:eastAsia="楷体" w:cs="楷体"/>
                <w:color w:val="FF0000"/>
              </w:rPr>
              <w:t>质量不符合约定，甲方有权要求乙方在【】个工作日内进行整改，整改后仍未达标</w:t>
            </w:r>
            <w:r>
              <w:rPr>
                <w:rFonts w:hint="eastAsia" w:ascii="楷体" w:hAnsi="楷体" w:eastAsia="楷体" w:cs="楷体"/>
              </w:rPr>
              <w:t>的</w:t>
            </w:r>
            <w:r>
              <w:rPr>
                <w:rFonts w:hint="eastAsia" w:ascii="楷体" w:hAnsi="楷体" w:eastAsia="楷体" w:cs="楷体"/>
                <w:color w:val="FF0000"/>
              </w:rPr>
              <w:t>，</w:t>
            </w:r>
            <w:r>
              <w:rPr>
                <w:rFonts w:hint="eastAsia" w:ascii="楷体" w:hAnsi="楷体" w:eastAsia="楷体" w:cs="楷体"/>
              </w:rPr>
              <w:t>甲方</w:t>
            </w:r>
            <w:r>
              <w:rPr>
                <w:rFonts w:hint="eastAsia" w:ascii="楷体" w:hAnsi="楷体" w:eastAsia="楷体" w:cs="楷体"/>
                <w:color w:val="999999"/>
                <w:strike/>
              </w:rPr>
              <w:t>商业秘密、技术信息等承担保密义务</w:t>
            </w:r>
            <w:r>
              <w:rPr>
                <w:rFonts w:hint="eastAsia" w:ascii="楷体" w:hAnsi="楷体" w:eastAsia="楷体" w:cs="楷体"/>
                <w:color w:val="FF0000"/>
              </w:rPr>
              <w:t>有权启动违约责任追究程序</w:t>
            </w:r>
            <w:r>
              <w:rPr>
                <w:rFonts w:hint="eastAsia" w:ascii="楷体" w:hAnsi="楷体" w:eastAsia="楷体" w:cs="楷体"/>
              </w:rPr>
              <w:t>。</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原条款将乙方应承担的保密义务错误列入甲方权利条款，导致权利义务边界混淆，可能使甲方无端承担额外保密责任。应删除该内容，明确甲方权利与乙方义务分界。同时，原条款未赋予甲方对乙方不合格服务的整改权及违约责任追究权，服务质量保障不足。补充整改权及违约责任追究程序，强化甲方对服务质量的掌控，确保合同核心目的实现，降低服务风险。</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6、乙方境外服务人员管理责任需明确</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无</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color w:val="FF0000"/>
              </w:rPr>
              <w:t>乙方负责其派出服务人员在坦桑尼亚的签证办理、当地法律法规遵守及人员安全保障，为服务人员购买境外人身意外伤害保险；因乙方人员自身原因或违规操作导致的人身损害、财产损失或当地法律纠纷，全部责任由乙方自行承担，与甲方无关。</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原合同未明确乙方对其境外服务团队的管理责任，新增该条款可避免甲方因乙方人员原因承担不必要的法律风险。</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7、服务验收标准、技术人员资质及当地法律责任约定不完善</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乙方在服务过程中，有权要求甲方提供必要的配合和相关资料；配备专业的技术人员，为甲方提供专业、高效、优质的服务；严格遵守服务规范和操作流程，保证服务质量；在服务过程中，不得损坏甲方的其他财产，如因乙方原因造成甲方财产损失的，应承担赔偿责任；对服务过程中接触到的甲方商业秘密、技术信息等承担保密义务，不得向任何第三方泄露。</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乙方在服务过程中，有权要求甲方提供必要的配合和相关资料；配备专业的技术人员，为甲方提供专业、高效、优质的服务；严格遵守服务规范和操作流程，保证服务质量；在服务过程中，不得损坏甲方的其他财产，如因乙方原因造成甲方财产损失的，应承担赔偿责任；对服务过程中接触到的甲方商业秘密、技术信息等承担保密义务，不得向任何第三方泄露。</w:t>
            </w:r>
            <w:r>
              <w:rPr>
                <w:rFonts w:hint="eastAsia" w:ascii="楷体" w:hAnsi="楷体" w:eastAsia="楷体" w:cs="楷体"/>
                <w:color w:val="FF0000"/>
              </w:rPr>
              <w:t>升级完成后，乙方需确保每台播放器软件运行稳定、功能符合甲方预设要求，单台播放器升级完成后需经甲方现场人员或授权人员确认验收合格；全部服务完成后，乙方需提交完整的服务报告，经甲方整体验收通过后方视为服务全部完成。乙方应严格遵守坦桑尼亚当地的各项法律法规及行业规范，因乙方违反当地规定导致的任何处罚、索赔或纠纷，由乙方自行承担全部责任。乙方应确保派出的技术人员具备播放器软件升级的专业资质及操作能力，若甲方认为乙方技术人员无法满足服务要求或存在服务态度问题，有权要求乙方在3个工作日内更换合格技术人员，由此产生的费用由乙方自行承担。</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原条款未明确服务验收标准、流程、技术人员资质及更换机制，也未约定乙方需遵守当地法律法规。补充相关内容可保障甲方对服务成果的把控，确保服务团队专业性，降低法律及经济风险。</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8、服务费用金额及付款节点需明确并与服务进度挂钩</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本协议约定的服务范围，2026年1月20日前，乙方提供______元服务费用发票，甲方收到发票后5个工作日内向乙方支付               元；2026年2月5日前，乙方提供______元服务费用发票，甲方收到发票后5个工作日内向乙方支付               元。</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本协议约定的服务范围，</w:t>
            </w:r>
            <w:r>
              <w:rPr>
                <w:rFonts w:hint="eastAsia" w:ascii="楷体" w:hAnsi="楷体" w:eastAsia="楷体" w:cs="楷体"/>
                <w:color w:val="FF0000"/>
              </w:rPr>
              <w:t>第一笔款项：乙方完成不少于总服务量【】%的软件升级工作并经甲方确认验收后，于</w:t>
            </w:r>
            <w:r>
              <w:rPr>
                <w:rFonts w:hint="eastAsia" w:ascii="楷体" w:hAnsi="楷体" w:eastAsia="楷体" w:cs="楷体"/>
              </w:rPr>
              <w:t>2026年1月20日前</w:t>
            </w:r>
            <w:r>
              <w:rPr>
                <w:rFonts w:hint="eastAsia" w:ascii="楷体" w:hAnsi="楷体" w:eastAsia="楷体" w:cs="楷体"/>
                <w:color w:val="999999"/>
                <w:strike/>
              </w:rPr>
              <w:t>，乙方</w:t>
            </w:r>
            <w:r>
              <w:rPr>
                <w:rFonts w:hint="eastAsia" w:ascii="楷体" w:hAnsi="楷体" w:eastAsia="楷体" w:cs="楷体"/>
              </w:rPr>
              <w:t>提供</w:t>
            </w:r>
            <w:r>
              <w:rPr>
                <w:rFonts w:hint="eastAsia" w:ascii="楷体" w:hAnsi="楷体" w:eastAsia="楷体" w:cs="楷体"/>
                <w:color w:val="999999"/>
                <w:strike/>
              </w:rPr>
              <w:t>______元</w:t>
            </w:r>
            <w:r>
              <w:rPr>
                <w:rFonts w:hint="eastAsia" w:ascii="楷体" w:hAnsi="楷体" w:eastAsia="楷体" w:cs="楷体"/>
                <w:color w:val="FF0000"/>
              </w:rPr>
              <w:t>对应金额的</w:t>
            </w:r>
            <w:r>
              <w:rPr>
                <w:rFonts w:hint="eastAsia" w:ascii="楷体" w:hAnsi="楷体" w:eastAsia="楷体" w:cs="楷体"/>
              </w:rPr>
              <w:t>服务费用发票，甲方收到发票后5个工作日内向乙方支付</w:t>
            </w:r>
            <w:r>
              <w:rPr>
                <w:rFonts w:hint="eastAsia" w:ascii="楷体" w:hAnsi="楷体" w:eastAsia="楷体" w:cs="楷体"/>
                <w:color w:val="FF0000"/>
              </w:rPr>
              <w:t>【】</w:t>
            </w:r>
            <w:r>
              <w:rPr>
                <w:rFonts w:hint="eastAsia" w:ascii="楷体" w:hAnsi="楷体" w:eastAsia="楷体" w:cs="楷体"/>
              </w:rPr>
              <w:t>元；</w:t>
            </w:r>
            <w:r>
              <w:rPr>
                <w:rFonts w:hint="eastAsia" w:ascii="楷体" w:hAnsi="楷体" w:eastAsia="楷体" w:cs="楷体"/>
                <w:color w:val="FF0000"/>
              </w:rPr>
              <w:t>第二笔款项：乙方完成不少于总服务量【】%的软件升级工作并经甲方确认验收后，于</w:t>
            </w:r>
            <w:r>
              <w:rPr>
                <w:rFonts w:hint="eastAsia" w:ascii="楷体" w:hAnsi="楷体" w:eastAsia="楷体" w:cs="楷体"/>
              </w:rPr>
              <w:t>2026年2月5日前</w:t>
            </w:r>
            <w:r>
              <w:rPr>
                <w:rFonts w:hint="eastAsia" w:ascii="楷体" w:hAnsi="楷体" w:eastAsia="楷体" w:cs="楷体"/>
                <w:color w:val="999999"/>
                <w:strike/>
              </w:rPr>
              <w:t>，乙方</w:t>
            </w:r>
            <w:r>
              <w:rPr>
                <w:rFonts w:hint="eastAsia" w:ascii="楷体" w:hAnsi="楷体" w:eastAsia="楷体" w:cs="楷体"/>
              </w:rPr>
              <w:t>提供</w:t>
            </w:r>
            <w:r>
              <w:rPr>
                <w:rFonts w:hint="eastAsia" w:ascii="楷体" w:hAnsi="楷体" w:eastAsia="楷体" w:cs="楷体"/>
                <w:color w:val="999999"/>
                <w:strike/>
              </w:rPr>
              <w:t>______元</w:t>
            </w:r>
            <w:r>
              <w:rPr>
                <w:rFonts w:hint="eastAsia" w:ascii="楷体" w:hAnsi="楷体" w:eastAsia="楷体" w:cs="楷体"/>
                <w:color w:val="FF0000"/>
              </w:rPr>
              <w:t>对应金额的</w:t>
            </w:r>
            <w:r>
              <w:rPr>
                <w:rFonts w:hint="eastAsia" w:ascii="楷体" w:hAnsi="楷体" w:eastAsia="楷体" w:cs="楷体"/>
              </w:rPr>
              <w:t>服务费用发票，甲方收到发票后5个工作日内向乙方支付</w:t>
            </w:r>
            <w:r>
              <w:rPr>
                <w:rFonts w:hint="eastAsia" w:ascii="楷体" w:hAnsi="楷体" w:eastAsia="楷体" w:cs="楷体"/>
                <w:color w:val="FF0000"/>
              </w:rPr>
              <w:t>【】</w:t>
            </w:r>
            <w:r>
              <w:rPr>
                <w:rFonts w:hint="eastAsia" w:ascii="楷体" w:hAnsi="楷体" w:eastAsia="楷体" w:cs="楷体"/>
              </w:rPr>
              <w:t>元</w:t>
            </w:r>
            <w:r>
              <w:rPr>
                <w:rFonts w:hint="eastAsia" w:ascii="楷体" w:hAnsi="楷体" w:eastAsia="楷体" w:cs="楷体"/>
                <w:color w:val="FF0000"/>
              </w:rPr>
              <w:t>；剩余服务费用：乙方完成全部服务并经甲方整体验收合格后，提供剩余金额的服务费用发票，甲方收到发票后5个工作日内支付完毕</w:t>
            </w:r>
            <w:r>
              <w:rPr>
                <w:rFonts w:hint="eastAsia" w:ascii="楷体" w:hAnsi="楷体" w:eastAsia="楷体" w:cs="楷体"/>
              </w:rPr>
              <w:t>。</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原条款服务费用及付款金额均为空，未明确具体金额和付款节点，且未将付款与服务进度及验收结果挂钩，易导致付款争议和甲方利益受损。应补充具体金额，并将付款节点与服务进度、验收结果挂钩，以保障合同履行的合理性和安全性。</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9、需明确比例和天数等关键参数</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本协议约定的服务范围，2026年1月20日前，乙方提供______元服务费用发票，甲方收到发票后5个工作日内向乙方支付               元；2026年2月5日前，乙方提供______元服务费用发票，甲方收到发票后5个工作日内向乙方支付               元。
违约责任
1、若乙方未按照本协议约定的服务范围、时间提供服务，或服务质量不符合约定，给甲方造成损失的，乙方应承担相应的赔偿责任；情节严重的，甲方有权解除本协议，并要求乙方退还已支付的服务费用（如有）；</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无</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优化建议中涉及的“【】%”“【】天”等需明确的内容，需根据实际商业谈判情况确定具体的逾期违约金比例、逾期解除协议的天数及各付款节点对应的服务完成比例，避免履约争议。</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10、乙方逾期违约责任不明确</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若乙方未按照本协议约定的服务范围、时间提供服务，或服务质量不符合约定，给甲方造成损失的，乙方应承担相应的赔偿责任；情节严重的，甲方有权解除本协议，并要求乙方退还已支付的服务费用（如有）；</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若乙方未按照本协议约定的服务范围、时间提供服务，或服务质量不符合约定，给甲方造成损失的，乙方应承担相应的赔偿责任；</w:t>
            </w:r>
            <w:r>
              <w:rPr>
                <w:rFonts w:hint="eastAsia" w:ascii="楷体" w:hAnsi="楷体" w:eastAsia="楷体" w:cs="楷体"/>
                <w:color w:val="FF0000"/>
              </w:rPr>
              <w:t>若乙方逾期完成服务，每逾期一日，应按照服务总费用的【】%向甲方支付违约金；逾期超过【】天的，甲方有权单方解除本协议，并要求乙方退还已支付的全部服务费用，同时赔偿甲方因此遭受的全部损失；</w:t>
            </w:r>
            <w:r>
              <w:rPr>
                <w:rFonts w:hint="eastAsia" w:ascii="楷体" w:hAnsi="楷体" w:eastAsia="楷体" w:cs="楷体"/>
              </w:rPr>
              <w:t>情节严重的，甲方有权解除本协议，并要求乙方退还已支付的服务费用（如有）；</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原条款未细化乙方逾期履约的违约责任，补充逾期违约金及解除权条款，增强条款可操作性，有效约束乙方按时完成服务。</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11、补充免责条款以明确不可抗力等情形下的责任分配</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无</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color w:val="FF0000"/>
              </w:rPr>
              <w:t>因不可抗力、政策重大变化或甲方提供的设备存在固有缺陷导致无法升级等非因任何一方过错原因，导致本协议部分或全部无法履行的，遭受该等情形的一方应尽快通知对方，并提供相应证明，双方可协商延期履行、部分履行或解除本协议，遭受方据此可免除相应违约责任。</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合同缺乏免责条款，若因不可抗力、政策变化或甲方设备自身问题导致协议无法履行，双方均可能主张免责。新增该条款可明确免责情形，平衡双方风险，避免因非自身原因承担违约责任。</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12、保密违约责任赔偿范围需合理限定</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任何一方违反本协议约定的保密义务，泄露对方商业秘密或技术信息，给对方造成损失的，应承担全部赔偿责任；</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任何一方违反本协议约定的保密义务，泄露对方商业秘密或技术信息，给对方造成损失的，应</w:t>
            </w:r>
            <w:r>
              <w:rPr>
                <w:rFonts w:hint="eastAsia" w:ascii="楷体" w:hAnsi="楷体" w:eastAsia="楷体" w:cs="楷体"/>
                <w:color w:val="999999"/>
                <w:strike/>
              </w:rPr>
              <w:t>承担全部</w:t>
            </w:r>
            <w:r>
              <w:rPr>
                <w:rFonts w:hint="eastAsia" w:ascii="楷体" w:hAnsi="楷体" w:eastAsia="楷体" w:cs="楷体"/>
              </w:rPr>
              <w:t>赔偿</w:t>
            </w:r>
            <w:r>
              <w:rPr>
                <w:rFonts w:hint="eastAsia" w:ascii="楷体" w:hAnsi="楷体" w:eastAsia="楷体" w:cs="楷体"/>
                <w:color w:val="999999"/>
                <w:strike/>
              </w:rPr>
              <w:t>责任</w:t>
            </w:r>
            <w:r>
              <w:rPr>
                <w:rFonts w:hint="eastAsia" w:ascii="楷体" w:hAnsi="楷体" w:eastAsia="楷体" w:cs="楷体"/>
                <w:color w:val="FF0000"/>
              </w:rPr>
              <w:t>因此给对方造成的直接经济损失</w:t>
            </w:r>
            <w:r>
              <w:rPr>
                <w:rFonts w:hint="eastAsia" w:ascii="楷体" w:hAnsi="楷体" w:eastAsia="楷体" w:cs="楷体"/>
              </w:rPr>
              <w:t>；</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原条款“应承担全部赔偿责任”表述过于宽泛，可能被解释为包括间接损失、利润损失等，对我方风险过高。限定为“直接经济损失”有助于控制潜在责任，保障合同公平性。</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13、缺少合同终止后资料返还条款</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无</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color w:val="FF0000"/>
              </w:rPr>
              <w:t>本协议因任何原因被解除或终止的，乙方应在五日内退还甲方所有与履行本协议相关的技术资料、商业秘密载体，并出具已完成退还的书面证明。甲方有权委派人员在场监督上述退还过程。</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原合同未约定合同终止后的资料返还及清理程序，存在甲方核心信息泄露风险。新增条款明确乙方返还义务及甲方监督权，保障信息安全，防止信息外泄。</w:t>
            </w:r>
          </w:p>
        </w:tc>
      </w:tr>
    </w:tbl>
    <w:p ns2: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ns2:paraId="2934DFF9">
      <w:pPr>
        <w:ind w:left="703" w:hanging="283"/>
        <w:rPr>
          <w:rFonts w:ascii="Times New Roman" w:hAnsi="Times New Roman" w:eastAsia="楷体" w:cs="Arial"/>
          <w:b/>
          <w:bCs/>
        </w:rPr>
      </w:pPr>
      <w:r>
        <w:rPr>
          <w:rFonts w:hint="eastAsia" w:ascii="Times New Roman" w:hAnsi="Times New Roman" w:eastAsia="楷体" w:cs="Arial"/>
          <w:b/>
          <w:bCs/>
        </w:rPr>
        <w:t>14、补充协议生效形式不明确</w:t>
      </w:r>
    </w:p>
    <w:p ns2: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ns2:paraId="3A7FBEC5">
        <w:tc>
          <w:tcPr>
            <w:tcW w:w="2500" w:type="pct"/>
            <w:shd w:val="clear" w:color="auto" w:fill="D7D7D7" w:themeFill="background1" w:themeFillShade="D8"/>
          </w:tcPr>
          <w:p ns2: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ns2:paraId="4DBACD15">
            <w:pPr>
              <w:rPr>
                <w:rFonts w:ascii="Times New Roman" w:hAnsi="Times New Roman" w:eastAsia="楷体" w:cs="Arial"/>
                <w:b/>
                <w:bCs/>
              </w:rPr>
            </w:pPr>
            <w:r>
              <w:rPr>
                <w:rFonts w:hint="eastAsia" w:ascii="Times New Roman" w:hAnsi="Times New Roman" w:eastAsia="楷体" w:cs="Arial"/>
                <w:b/>
                <w:bCs/>
              </w:rPr>
              <w:t>修改建议</w:t>
            </w:r>
          </w:p>
        </w:tc>
      </w:tr>
      <w:tr ns2:paraId="51346393">
        <w:tc>
          <w:tcPr>
            <w:tcW w:w="2500" w:type="pct"/>
            <w:shd w:val="clear" w:color="auto" w:fill="auto"/>
          </w:tcPr>
          <w:p ns2:paraId="70D051B2">
            <w:pPr>
              <w:rPr>
                <w:rFonts w:ascii="Times New Roman" w:hAnsi="Times New Roman" w:eastAsia="楷体" w:cs="Arial"/>
              </w:rPr>
            </w:pPr>
            <w:r>
              <w:rPr>
                <w:rFonts w:hint="eastAsia" w:ascii="Times New Roman" w:hAnsi="Times New Roman" w:eastAsia="楷体" w:cs="Arial"/>
              </w:rPr>
              <w:t>本协议未尽事宜，双方可另行签订补充协议，补充协议与本协议内容冲突的，以补充协议为准；</w:t>
            </w:r>
          </w:p>
        </w:tc>
        <w:tc>
          <w:tcPr>
            <w:tcW w:w="2500" w:type="pct"/>
            <w:shd w:val="clear" w:color="auto" w:fill="auto"/>
          </w:tcPr>
          <w:p ns2: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本协议未尽事宜，双方可另行签订补充协议，补充协议</w:t>
            </w:r>
            <w:r>
              <w:rPr>
                <w:rFonts w:hint="eastAsia" w:ascii="楷体" w:hAnsi="楷体" w:eastAsia="楷体" w:cs="楷体"/>
                <w:color w:val="FF0000"/>
              </w:rPr>
              <w:t>应采用书面形式并经双方签字或盖章后生效，方为有效。补充协议</w:t>
            </w:r>
            <w:r>
              <w:rPr>
                <w:rFonts w:hint="eastAsia" w:ascii="楷体" w:hAnsi="楷体" w:eastAsia="楷体" w:cs="楷体"/>
              </w:rPr>
              <w:t>与本协议内容冲突的，以补充协议为准；</w:t>
            </w:r>
          </w:p>
        </w:tc>
      </w:tr>
      <w:tr ns2:paraId="1C5BAA82">
        <w:trPr>
          <w:trHeight w:val="254" w:hRule="atLeast"/>
        </w:trPr>
        <w:tc>
          <w:tcPr>
            <w:tcW w:w="5000" w:type="pct"/>
            <w:gridSpan w:val="2"/>
            <w:shd w:val="clear" w:color="auto" w:fill="D7D7D7" w:themeFill="background1" w:themeFillShade="D8"/>
          </w:tcPr>
          <w:p ns2: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ns2:paraId="05F28B23">
        <w:tc>
          <w:tcPr>
            <w:tcW w:w="5000" w:type="pct"/>
            <w:gridSpan w:val="2"/>
            <w:shd w:val="clear" w:color="auto" w:fill="auto"/>
          </w:tcPr>
          <w:p ns2:paraId="4F362A4C">
            <w:pPr>
              <w:rPr>
                <w:rFonts w:ascii="Times New Roman" w:hAnsi="Times New Roman" w:eastAsia="楷体" w:cs="Arial"/>
              </w:rPr>
            </w:pPr>
            <w:r>
              <w:rPr>
                <w:rFonts w:hint="eastAsia" w:ascii="Times New Roman" w:hAnsi="Times New Roman" w:eastAsia="楷体" w:cs="Arial"/>
              </w:rPr>
              <w:t>原条款未明确补充协议的生效形式，可能导致口头或单方变更合同，造成权利义务不确定。补充协议需书面并双方签字或盖章后生效，有助于防止争议，保障合同严肃性。</w:t>
            </w:r>
          </w:p>
        </w:tc>
      </w:tr>
    </w:tbl>
    <w:sectPr>
      <w:headerReference ns6:id="rId3" w:type="default"/>
      <w:footerReference ns6: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6EA6B">
    <w:pPr>
      <w:pStyle w:val="6"/>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AF61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kgka0MQIAAGE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&#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JIJGtDECAABhBAAADgAAAAAAAAABACAAAAA1&#10;AQAAZHJzL2Uyb0RvYy54bWxQSwUGAAAAAAYABgBZAQAA2AUAAAAA&#10;">
              <v:fill on="f" focussize="0,0"/>
              <v:stroke on="f" weight="0.5pt"/>
              <v:imagedata o:title=""/>
              <o:lock v:ext="edit" aspectratio="f"/>
              <v:textbox inset="0mm,0mm,0mm,0mm" style="mso-fit-shape-to-text:t;">
                <w:txbxContent>
                  <w:p w14:paraId="02CAF61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8AB1A">
    <w:pPr>
      <w:pStyle w:val="7"/>
      <w:pBdr>
        <w:bottom w:val="single" w:color="auto" w:sz="4" w:space="1"/>
      </w:pBdr>
      <w:jc w:val="right"/>
      <w:rPr>
        <w:rFonts w:hint="eastAsia" w:ascii="楷体" w:hAnsi="楷体" w:eastAsia="楷体" w:cs="楷体"/>
        <w:lang w:val="en-US" w:eastAsia="zh-CN"/>
      </w:rPr>
    </w:pPr>
    <w:r>
      <w:rPr>
        <w:rFonts w:hint="eastAsia" w:ascii="楷体" w:hAnsi="楷体" w:eastAsia="楷体" w:cs="楷体"/>
        <w:lang w:val="en-US" w:eastAsia="zh-CN"/>
      </w:rPr>
      <w:t>合同审查意见书</w:t>
    </w:r>
  </w:p>
  <w:p w14:paraId="22DFFFA6">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E5B16"/>
    <w:rsid w:val="1B3FEB22"/>
    <w:rsid w:val="1DDAE21A"/>
    <w:rsid w:val="2FDF6275"/>
    <w:rsid w:val="3FC4D07E"/>
    <w:rsid w:val="5FF205CF"/>
    <w:rsid w:val="6F6CE411"/>
    <w:rsid w:val="6F7F9441"/>
    <w:rsid w:val="6FBE5B16"/>
    <w:rsid w:val="7D8FCF37"/>
    <w:rsid w:val="7D973839"/>
    <w:rsid w:val="7DFE4762"/>
    <w:rsid w:val="7F679F87"/>
    <w:rsid w:val="7F7F824B"/>
    <w:rsid w:val="9AF745F0"/>
    <w:rsid w:val="AB7E2DEF"/>
    <w:rsid w:val="AFFF6273"/>
    <w:rsid w:val="DEFF3AAF"/>
    <w:rsid w:val="DF0D84BA"/>
    <w:rsid w:val="DFEF8EED"/>
    <w:rsid w:val="E6FE1FE3"/>
    <w:rsid w:val="EB78A51E"/>
    <w:rsid w:val="F7F667E1"/>
    <w:rsid w:val="FB3B3557"/>
    <w:rsid w:val="FBEF38DB"/>
    <w:rsid w:val="FDF30025"/>
    <w:rsid w:val="FEFFBE59"/>
    <w:rsid w:val="FFFD4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9"/>
    <w:pPr>
      <w:keepNext/>
      <w:keepLines/>
      <w:widowControl/>
      <w:spacing w:before="240" w:after="0"/>
      <w:jc w:val="left"/>
      <w:outlineLvl w:val="0"/>
    </w:pPr>
    <w:rPr>
      <w:rFonts w:ascii="Calibri Light" w:hAnsi="Calibri Light" w:eastAsia="Times New Roman" w:cs="Times New Roman"/>
      <w:color w:val="2F5496"/>
      <w:kern w:val="0"/>
      <w:sz w:val="32"/>
      <w:szCs w:val="32"/>
      <w:lang w:eastAsia="en-US"/>
    </w:rPr>
  </w:style>
  <w:style w:type="paragraph" w:styleId="3">
    <w:name w:val="heading 2"/>
    <w:basedOn w:val="1"/>
    <w:next w:val="1"/>
    <w:link w:val="16"/>
    <w:qFormat/>
    <w:uiPriority w:val="9"/>
    <w:pPr>
      <w:keepNext/>
      <w:keepLines/>
      <w:widowControl/>
      <w:spacing w:before="40" w:after="0"/>
      <w:jc w:val="left"/>
      <w:outlineLvl w:val="1"/>
    </w:pPr>
    <w:rPr>
      <w:rFonts w:ascii="Calibri Light" w:hAnsi="Calibri Light" w:eastAsia="Times New Roman" w:cs="Times New Roman"/>
      <w:color w:val="2F5496"/>
      <w:kern w:val="0"/>
      <w:sz w:val="26"/>
      <w:szCs w:val="26"/>
      <w:lang w:eastAsia="en-U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Body Text"/>
    <w:basedOn w:val="1"/>
    <w:link w:val="17"/>
    <w:qFormat/>
    <w:uiPriority w:val="99"/>
    <w:pPr>
      <w:widowControl/>
      <w:spacing w:after="120"/>
      <w:jc w:val="left"/>
    </w:pPr>
    <w:rPr>
      <w:rFonts w:ascii="Times New Roman" w:hAnsi="Times New Roman" w:eastAsia="Times New Roman" w:cs="Times New Roman"/>
      <w:kern w:val="0"/>
      <w:sz w:val="24"/>
      <w:lang w:eastAsia="en-US"/>
    </w:rPr>
  </w:style>
  <w:style w:type="paragraph" w:styleId="6">
    <w:name w:val="footer"/>
    <w:basedOn w:val="1"/>
    <w:semiHidden/>
    <w:unhideWhenUsed/>
    <w:uiPriority w:val="99"/>
    <w:pPr>
      <w:tabs>
        <w:tab w:val="center" w:pos="4153"/>
        <w:tab w:val="right" w:pos="8306"/>
      </w:tabs>
      <w:snapToGrid w:val="0"/>
      <w:jc w:val="left"/>
    </w:pPr>
    <w:rPr>
      <w:sz w:val="18"/>
    </w:rPr>
  </w:style>
  <w:style w:type="paragraph" w:styleId="7">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pPr>
      <w:widowControl/>
      <w:spacing w:after="100" w:line="360" w:lineRule="auto"/>
      <w:jc w:val="left"/>
    </w:pPr>
    <w:rPr>
      <w:rFonts w:ascii="宋体" w:hAnsi="宋体" w:eastAsia="宋体" w:cs="宋体"/>
      <w:kern w:val="0"/>
      <w:sz w:val="24"/>
      <w:lang w:eastAsia="en-US"/>
    </w:rPr>
  </w:style>
  <w:style w:type="paragraph" w:styleId="9">
    <w:name w:val="toc 2"/>
    <w:basedOn w:val="1"/>
    <w:next w:val="1"/>
    <w:qFormat/>
    <w:uiPriority w:val="39"/>
    <w:pPr>
      <w:widowControl/>
      <w:spacing w:after="100" w:line="360" w:lineRule="auto"/>
      <w:ind w:left="220"/>
      <w:jc w:val="left"/>
    </w:pPr>
    <w:rPr>
      <w:rFonts w:ascii="宋体" w:hAnsi="宋体" w:eastAsia="宋体" w:cs="宋体"/>
      <w:kern w:val="0"/>
      <w:sz w:val="24"/>
      <w:lang w:eastAsia="en-US"/>
    </w:rPr>
  </w:style>
  <w:style w:type="character" w:styleId="12">
    <w:name w:val="Hyperlink"/>
    <w:basedOn w:val="11"/>
    <w:qFormat/>
    <w:uiPriority w:val="99"/>
    <w:rPr>
      <w:rFonts w:ascii="Times New Roman" w:hAnsi="Times New Roman" w:eastAsia="宋体" w:cs="Times New Roman"/>
      <w:color w:val="0563C1"/>
      <w:u w:val="single"/>
    </w:rPr>
  </w:style>
  <w:style w:type="table" w:customStyle="1" w:styleId="13">
    <w:name w:val="网格型1"/>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正文1"/>
    <w:qFormat/>
    <w:uiPriority w:val="0"/>
    <w:rPr>
      <w:rFonts w:ascii="Arial Unicode MS" w:hAnsi="Arial Unicode MS" w:eastAsia="Helvetica Neue" w:cs="Arial Unicode MS"/>
      <w:color w:val="000000"/>
      <w:sz w:val="22"/>
      <w:szCs w:val="22"/>
      <w:lang w:val="zh-CN" w:eastAsia="zh-CN" w:bidi="ar-SA"/>
    </w:rPr>
  </w:style>
  <w:style w:type="character" w:customStyle="1" w:styleId="15">
    <w:name w:val="Heading 1 Char"/>
    <w:basedOn w:val="11"/>
    <w:link w:val="2"/>
    <w:qFormat/>
    <w:uiPriority w:val="9"/>
    <w:rPr>
      <w:rFonts w:ascii="Calibri Light" w:hAnsi="Calibri Light" w:eastAsia="Times New Roman" w:cs="Times New Roman"/>
      <w:color w:val="2F5496"/>
      <w:sz w:val="32"/>
      <w:szCs w:val="32"/>
    </w:rPr>
  </w:style>
  <w:style w:type="character" w:customStyle="1" w:styleId="16">
    <w:name w:val="Heading 2 Char"/>
    <w:basedOn w:val="11"/>
    <w:link w:val="3"/>
    <w:qFormat/>
    <w:uiPriority w:val="9"/>
    <w:rPr>
      <w:rFonts w:ascii="Calibri Light" w:hAnsi="Calibri Light" w:eastAsia="Times New Roman" w:cs="Times New Roman"/>
      <w:color w:val="2F5496"/>
      <w:sz w:val="26"/>
      <w:szCs w:val="26"/>
    </w:rPr>
  </w:style>
  <w:style w:type="character" w:customStyle="1" w:styleId="17">
    <w:name w:val="Body Text Char"/>
    <w:basedOn w:val="11"/>
    <w:link w:val="5"/>
    <w:qFormat/>
    <w:uiPriority w:val="99"/>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76113</Words>
  <Characters>79073</Characters>
  <Lines>1</Lines>
  <Paragraphs>548</Paragraphs>
  <TotalTime>6</TotalTime>
  <ScaleCrop>false</ScaleCrop>
  <LinksUpToDate>false</LinksUpToDate>
  <CharactersWithSpaces>79101</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2024-02-08T11:24:00Z</dcterms:created>
  <dc:creator>Microsoft Office User</dc:creator>
  <cp:lastModifiedBy>icou</cp:lastModifiedBy>
  <dcterms:modified xsi:type="dcterms:W3CDTF">2025-04-27T15:02:40Z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FB83ED54BA4C456730080268AF86B641_43</vt:lpwstr>
  </property>
</Properties>
</file>