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32"/>
          <w:szCs w:val="32"/>
        </w:rPr>
        <w:t xml:space="preserve">Methods for Evaluating Facial Asymmetry Quantification Algorithms Using Artificially Introduced Asymmetry</w:t>
      </w:r>
    </w:p>
    <w:p>
      <w:pPr>
        <w:pStyle w:val="Heading1"/>
      </w:pPr>
      <w:r>
        <w:t xml:space="preserve">Chapter 1: Methods for Artificially Introducing Facial Asymmetry</w:t>
      </w:r>
    </w:p>
    <w:p>
      <w:pPr>
        <w:pStyle w:val="Heading2"/>
      </w:pPr>
      <w:r>
        <w:t xml:space="preserve">1.1 Template Face Model</w:t>
      </w:r>
    </w:p>
    <w:p>
      <w:pPr>
        <w:spacing w:after="200" w:line="360"/>
      </w:pPr>
      <w:r>
        <w:t xml:space="preserve">The facial template used in this study is a high-density three-dimensional surface mesh containing 7,160 vertices and 14,050 triangular faces. This template was constructed as an average face derived from a large population sample (n &gt; 8,000) and represents a standardized facial morphology suitable for registration-based analyses. The template exhibits bilateral symmetry about the midsagittal plane (x = 0), which is essential for establishing ground truth correspondences between anatomically homologous points on the left and right hemifaces.</w:t>
      </w:r>
    </w:p>
    <w:p>
      <w:pPr>
        <w:spacing w:after="200" w:line="360"/>
      </w:pPr>
      <w:r>
        <w:t xml:space="preserve">[PLACEHOLDER: Additional details about the template source, population characteristics, and mesh quality metrics to be added]</w:t>
      </w:r>
    </w:p>
    <w:p>
      <w:pPr>
        <w:pStyle w:val="Heading2"/>
      </w:pPr>
      <w:r>
        <w:t xml:space="preserve">1.2 Gaussian Deformation Method</w:t>
      </w:r>
    </w:p>
    <w:p>
      <w:pPr>
        <w:spacing w:after="200" w:line="360"/>
      </w:pPr>
      <w:r>
        <w:t xml:space="preserve">To systematically evaluate asymmetry quantification algorithms, we artificially introduced controlled asymmetric deformations to the symmetric template face using a Gaussian-weighted directional displacement method. This approach allows precise control over the location, magnitude, and spatial extent of the introduced asymmetry.</w:t>
      </w:r>
    </w:p>
    <w:p>
      <w:pPr>
        <w:spacing w:after="200" w:line="360"/>
      </w:pPr>
      <w:r>
        <w:t xml:space="preserve">The displacement of each vertex v</w:t>
      </w:r>
      <w:r>
        <w:rPr>
          <w:vertAlign w:val="subscript"/>
        </w:rPr>
        <w:t xml:space="preserve">i</w:t>
      </w:r>
      <w:r>
        <w:t xml:space="preserve"> was calculated according to the following formula:</w:t>
      </w:r>
    </w:p>
    <w:p>
      <w:pPr>
        <w:spacing w:before="200" w:after="200"/>
        <w:jc w:val="center"/>
      </w:pPr>
      <w:r>
        <w:rPr>
          <w:i/>
          <w:iCs/>
        </w:rPr>
        <w:t xml:space="preserve">Δv</w:t>
      </w:r>
      <w:r>
        <w:rPr>
          <w:i/>
          <w:iCs/>
          <w:vertAlign w:val="subscript"/>
        </w:rPr>
        <w:t xml:space="preserve">i</w:t>
      </w:r>
      <w:r>
        <w:rPr>
          <w:i/>
          <w:iCs/>
        </w:rPr>
        <w:t xml:space="preserve"> = σ × w</w:t>
      </w:r>
      <w:r>
        <w:rPr>
          <w:vertAlign w:val="subscript"/>
        </w:rPr>
        <w:t xml:space="preserve">i</w:t>
      </w:r>
      <w:r>
        <w:rPr>
          <w:i/>
          <w:iCs/>
        </w:rPr>
        <w:t xml:space="preserve"> × A × </w:t>
      </w:r>
      <w:r>
        <w:rPr>
          <w:b/>
          <w:bCs/>
          <w:i/>
          <w:iCs/>
        </w:rPr>
        <w:t xml:space="preserve">d</w:t>
      </w:r>
    </w:p>
    <w:p>
      <w:pPr>
        <w:spacing w:after="200" w:line="360"/>
      </w:pPr>
      <w:r>
        <w:t xml:space="preserve">where σ = +1 indicates the displacement direction, </w:t>
      </w:r>
      <w:r>
        <w:rPr>
          <w:b/>
          <w:bCs/>
          <w:i/>
          <w:iCs/>
        </w:rPr>
        <w:t xml:space="preserve">d</w:t>
      </w:r>
      <w:r>
        <w:t xml:space="preserve"> is the unit direction vector (1, 0, 0) representing rightward displacement along the x-axis, </w:t>
      </w:r>
      <w:r>
        <w:rPr>
          <w:i/>
          <w:iCs/>
        </w:rPr>
        <w:t xml:space="preserve">A</w:t>
      </w:r>
      <w:r>
        <w:t xml:space="preserve"> represents the maximum displacement amplitude in millimeters, and </w:t>
      </w:r>
      <w:r>
        <w:rPr>
          <w:i/>
          <w:iCs/>
        </w:rPr>
        <w:t xml:space="preserve">w</w:t>
      </w:r>
      <w:r>
        <w:rPr>
          <w:vertAlign w:val="subscript"/>
        </w:rPr>
        <w:t xml:space="preserve">i</w:t>
      </w:r>
      <w:r>
        <w:t xml:space="preserve"> is the Gaussian weight.</w:t>
      </w:r>
    </w:p>
    <w:p>
      <w:pPr>
        <w:spacing w:after="200" w:line="360"/>
      </w:pPr>
      <w:r>
        <w:t xml:space="preserve">The amplitude parameter </w:t>
      </w:r>
      <w:r>
        <w:rPr>
          <w:i/>
          <w:iCs/>
        </w:rPr>
        <w:t xml:space="preserve">A</w:t>
      </w:r>
      <w:r>
        <w:t xml:space="preserve"> directly controls the maximum displacement magnitude at the center landmark. Vertices located exactly at the center point receive the full displacement of </w:t>
      </w:r>
      <w:r>
        <w:rPr>
          <w:i/>
          <w:iCs/>
        </w:rPr>
        <w:t xml:space="preserve">A</w:t>
      </w:r>
      <w:r>
        <w:t xml:space="preserve"> millimeters, while vertices farther from the center receive progressively smaller displacements according to the Gaussian weighting function. By varying </w:t>
      </w:r>
      <w:r>
        <w:rPr>
          <w:i/>
          <w:iCs/>
        </w:rPr>
        <w:t xml:space="preserve">A</w:t>
      </w:r>
      <w:r>
        <w:t xml:space="preserve">, we can generate faces with different degrees of asymmetry severity, ranging from subtle deviations to pronounced displacements.</w:t>
      </w:r>
    </w:p>
    <w:p>
      <w:pPr>
        <w:spacing w:after="200" w:line="360"/>
      </w:pPr>
      <w:r>
        <w:t xml:space="preserve">The Gaussian weight </w:t>
      </w:r>
      <w:r>
        <w:rPr>
          <w:i/>
          <w:iCs/>
        </w:rPr>
        <w:t xml:space="preserve">w</w:t>
      </w:r>
      <w:r>
        <w:rPr>
          <w:vertAlign w:val="subscript"/>
        </w:rPr>
        <w:t xml:space="preserve">i</w:t>
      </w:r>
      <w:r>
        <w:t xml:space="preserve"> is calculated as:</w:t>
      </w:r>
    </w:p>
    <w:p>
      <w:pPr>
        <w:spacing w:before="200" w:after="200"/>
        <w:jc w:val="center"/>
      </w:pPr>
      <w:r>
        <w:rPr>
          <w:i/>
          <w:iCs/>
        </w:rPr>
        <w:t xml:space="preserve">w</w:t>
      </w:r>
      <w:r>
        <w:rPr>
          <w:vertAlign w:val="subscript"/>
        </w:rPr>
        <w:t xml:space="preserve">i</w:t>
      </w:r>
      <w:r>
        <w:rPr>
          <w:i/>
          <w:iCs/>
        </w:rPr>
        <w:t xml:space="preserve"> = exp(-0.5 × (d</w:t>
      </w:r>
      <w:r>
        <w:rPr>
          <w:vertAlign w:val="subscript"/>
        </w:rPr>
        <w:t xml:space="preserve">i</w:t>
      </w:r>
      <w:r>
        <w:rPr>
          <w:i/>
          <w:iCs/>
        </w:rPr>
        <w:t xml:space="preserve">/r)²)</w:t>
      </w:r>
    </w:p>
    <w:p>
      <w:pPr>
        <w:spacing w:after="200" w:line="360"/>
      </w:pPr>
      <w:r>
        <w:t xml:space="preserve">where </w:t>
      </w:r>
      <w:r>
        <w:rPr>
          <w:i/>
          <w:iCs/>
        </w:rPr>
        <w:t xml:space="preserve">d</w:t>
      </w:r>
      <w:r>
        <w:rPr>
          <w:vertAlign w:val="subscript"/>
        </w:rPr>
        <w:t xml:space="preserve">i</w:t>
      </w:r>
      <w:r>
        <w:t xml:space="preserve"> represents the distance from vertex v</w:t>
      </w:r>
      <w:r>
        <w:rPr>
          <w:vertAlign w:val="subscript"/>
        </w:rPr>
        <w:t xml:space="preserve">i</w:t>
      </w:r>
      <w:r>
        <w:t xml:space="preserve"> to the center landmark point. The kernel radius parameter </w:t>
      </w:r>
      <w:r>
        <w:rPr>
          <w:i/>
          <w:iCs/>
        </w:rPr>
        <w:t xml:space="preserve">r</w:t>
      </w:r>
      <w:r>
        <w:t xml:space="preserve"> determines the spatial extent of the deformation field. At distance </w:t>
      </w:r>
      <w:r>
        <w:rPr>
          <w:i/>
          <w:iCs/>
        </w:rPr>
        <w:t xml:space="preserve">d</w:t>
      </w:r>
      <w:r>
        <w:rPr>
          <w:vertAlign w:val="subscript"/>
        </w:rPr>
        <w:t xml:space="preserve">i</w:t>
      </w:r>
      <w:r>
        <w:t xml:space="preserve"> = </w:t>
      </w:r>
      <w:r>
        <w:rPr>
          <w:i/>
          <w:iCs/>
        </w:rPr>
        <w:t xml:space="preserve">r</w:t>
      </w:r>
      <w:r>
        <w:t xml:space="preserve">, the Gaussian weight equals approximately 0.607, meaning the vertex receives about 60.7% of the maximum displacement. At distance </w:t>
      </w:r>
      <w:r>
        <w:rPr>
          <w:i/>
          <w:iCs/>
        </w:rPr>
        <w:t xml:space="preserve">d</w:t>
      </w:r>
      <w:r>
        <w:rPr>
          <w:vertAlign w:val="subscript"/>
        </w:rPr>
        <w:t xml:space="preserve">i</w:t>
      </w:r>
      <w:r>
        <w:t xml:space="preserve"> = 2</w:t>
      </w:r>
      <w:r>
        <w:rPr>
          <w:i/>
          <w:iCs/>
        </w:rPr>
        <w:t xml:space="preserve">r</w:t>
      </w:r>
      <w:r>
        <w:t xml:space="preserve">, the weight drops to approximately 0.135 (13.5% displacement), and at distance </w:t>
      </w:r>
      <w:r>
        <w:rPr>
          <w:i/>
          <w:iCs/>
        </w:rPr>
        <w:t xml:space="preserve">d</w:t>
      </w:r>
      <w:r>
        <w:rPr>
          <w:vertAlign w:val="subscript"/>
        </w:rPr>
        <w:t xml:space="preserve">i</w:t>
      </w:r>
      <w:r>
        <w:t xml:space="preserve"> = 3</w:t>
      </w:r>
      <w:r>
        <w:rPr>
          <w:i/>
          <w:iCs/>
        </w:rPr>
        <w:t xml:space="preserve">r</w:t>
      </w:r>
      <w:r>
        <w:t xml:space="preserve">, the weight is only 0.011 (1.1% displacement). Thus, larger values of </w:t>
      </w:r>
      <w:r>
        <w:rPr>
          <w:i/>
          <w:iCs/>
        </w:rPr>
        <w:t xml:space="preserve">r</w:t>
      </w:r>
      <w:r>
        <w:t xml:space="preserve"> create broader, more gradual deformations affecting a larger facial region, while smaller values produce more localized, sharper deformations.</w:t>
      </w:r>
    </w:p>
    <w:p>
      <w:pPr>
        <w:spacing w:after="200" w:line="360"/>
      </w:pPr>
      <w:r>
        <w:t xml:space="preserve">To improve computational efficiency and prevent negligible displacements at distant vertices, a cutoff distance threshold is applied. Vertices beyond this cutoff distance remain completely unaffected by the deformation, while vertices within the threshold receive Gaussian-weighted displacement. This creates a clear boundary between the deformed and undeformed regions of the face.</w:t>
      </w:r>
    </w:p>
    <w:p>
      <w:pPr>
        <w:pStyle w:val="Heading3"/>
      </w:pPr>
      <w:r>
        <w:t xml:space="preserve">1.2.1 Asymmetry at the Nasal Tip</w:t>
      </w:r>
    </w:p>
    <w:p>
      <w:pPr>
        <w:spacing w:after="200" w:line="360"/>
      </w:pPr>
      <w:r>
        <w:t xml:space="preserve">For introducing asymmetry at the nasal tip region, the pronasale landmark was used as the deformation center. The distance </w:t>
      </w:r>
      <w:r>
        <w:rPr>
          <w:i/>
          <w:iCs/>
        </w:rPr>
        <w:t xml:space="preserve">d</w:t>
      </w:r>
      <w:r>
        <w:rPr>
          <w:vertAlign w:val="subscript"/>
        </w:rPr>
        <w:t xml:space="preserve">i</w:t>
      </w:r>
      <w:r>
        <w:t xml:space="preserve"> was calculated as the three-dimensional Euclidean distance from each vertex to the center landmark:</w:t>
      </w:r>
    </w:p>
    <w:p>
      <w:pPr>
        <w:spacing w:before="200" w:after="200"/>
        <w:jc w:val="center"/>
      </w:pPr>
      <w:r>
        <w:rPr>
          <w:i/>
          <w:iCs/>
        </w:rPr>
        <w:t xml:space="preserve">d</w:t>
      </w:r>
      <w:r>
        <w:rPr>
          <w:vertAlign w:val="subscript"/>
        </w:rPr>
        <w:t xml:space="preserve">i</w:t>
      </w:r>
      <w:r>
        <w:rPr>
          <w:i/>
          <w:iCs/>
        </w:rPr>
        <w:t xml:space="preserve"> = √[(x</w:t>
      </w:r>
      <w:r>
        <w:rPr>
          <w:vertAlign w:val="subscript"/>
        </w:rPr>
        <w:t xml:space="preserve">i</w:t>
      </w:r>
      <w:r>
        <w:rPr>
          <w:i/>
          <w:iCs/>
        </w:rPr>
        <w:t xml:space="preserve"> - x</w:t>
      </w:r>
      <w:r>
        <w:rPr>
          <w:vertAlign w:val="subscript"/>
        </w:rPr>
        <w:t xml:space="preserve">c</w:t>
      </w:r>
      <w:r>
        <w:rPr>
          <w:i/>
          <w:iCs/>
        </w:rPr>
        <w:t xml:space="preserve">)² + (y</w:t>
      </w:r>
      <w:r>
        <w:rPr>
          <w:vertAlign w:val="subscript"/>
        </w:rPr>
        <w:t xml:space="preserve">i</w:t>
      </w:r>
      <w:r>
        <w:rPr>
          <w:i/>
          <w:iCs/>
        </w:rPr>
        <w:t xml:space="preserve"> - y</w:t>
      </w:r>
      <w:r>
        <w:rPr>
          <w:vertAlign w:val="subscript"/>
        </w:rPr>
        <w:t xml:space="preserve">c</w:t>
      </w:r>
      <w:r>
        <w:rPr>
          <w:i/>
          <w:iCs/>
        </w:rPr>
        <w:t xml:space="preserve">)² + (z</w:t>
      </w:r>
      <w:r>
        <w:rPr>
          <w:vertAlign w:val="subscript"/>
        </w:rPr>
        <w:t xml:space="preserve">i</w:t>
      </w:r>
      <w:r>
        <w:rPr>
          <w:i/>
          <w:iCs/>
        </w:rPr>
        <w:t xml:space="preserve"> - z</w:t>
      </w:r>
      <w:r>
        <w:rPr>
          <w:vertAlign w:val="subscript"/>
        </w:rPr>
        <w:t xml:space="preserve">c</w:t>
      </w:r>
      <w:r>
        <w:rPr>
          <w:i/>
          <w:iCs/>
        </w:rPr>
        <w:t xml:space="preserve">)²]</w:t>
      </w:r>
    </w:p>
    <w:p>
      <w:pPr>
        <w:spacing w:after="200" w:line="360"/>
      </w:pPr>
      <w:r>
        <w:t xml:space="preserve">This configuration creates a spherical deformation field centered at the nose tip, with displacement magnitude decreasing radially in all directions. The deformation parameters were set as follows: amplitude (</w:t>
      </w:r>
      <w:r>
        <w:rPr>
          <w:i/>
          <w:iCs/>
        </w:rPr>
        <w:t xml:space="preserve">A</w:t>
      </w:r>
      <w:r>
        <w:t xml:space="preserve">) ranging from 1 to 6 mm, kernel radius (</w:t>
      </w:r>
      <w:r>
        <w:rPr>
          <w:i/>
          <w:iCs/>
        </w:rPr>
        <w:t xml:space="preserve">r</w:t>
      </w:r>
      <w:r>
        <w:t xml:space="preserve">) = 15 mm, and cutoff distance = 50 mm. Vertices within the 50 mm spherical region around the pronasale received Gaussian-weighted displacement, creating a localized rightward deviation of the nasal tip and surrounding structures.</w:t>
      </w:r>
    </w:p>
    <w:p>
      <w:pPr>
        <w:spacing w:after="200" w:line="360"/>
      </w:pPr>
      <w:r>
        <w:t xml:space="preserve">[PLACEHOLDER: XX% of vertices (N = XXXX) were displaced, while XX% of vertices (N = XXXX) remained stationary outside the cutoff region]</w:t>
      </w:r>
    </w:p>
    <w:p>
      <w:pPr>
        <w:pStyle w:val="Heading3"/>
      </w:pPr>
      <w:r>
        <w:t xml:space="preserve">1.2.2 Asymmetry at the Menton</w:t>
      </w:r>
    </w:p>
    <w:p>
      <w:pPr>
        <w:spacing w:after="200" w:line="360"/>
      </w:pPr>
      <w:r>
        <w:t xml:space="preserve">For introducing asymmetry at the menton (chin) region, the soft tissue menton landmark was selected as the deformation center. Due to the anatomical characteristics of the lower face, a modified distance calculation was implemented. Instead of using three-dimensional Euclidean distance, only the vertical (y-coordinate) distance was used:</w:t>
      </w:r>
    </w:p>
    <w:p>
      <w:pPr>
        <w:spacing w:before="200" w:after="200"/>
        <w:jc w:val="center"/>
      </w:pPr>
      <w:r>
        <w:rPr>
          <w:i/>
          <w:iCs/>
        </w:rPr>
        <w:t xml:space="preserve">d</w:t>
      </w:r>
      <w:r>
        <w:rPr>
          <w:vertAlign w:val="subscript"/>
        </w:rPr>
        <w:t xml:space="preserve">i</w:t>
      </w:r>
      <w:r>
        <w:rPr>
          <w:i/>
          <w:iCs/>
        </w:rPr>
        <w:t xml:space="preserve"> = |y</w:t>
      </w:r>
      <w:r>
        <w:rPr>
          <w:vertAlign w:val="subscript"/>
        </w:rPr>
        <w:t xml:space="preserve">i</w:t>
      </w:r>
      <w:r>
        <w:rPr>
          <w:i/>
          <w:iCs/>
        </w:rPr>
        <w:t xml:space="preserve"> - y</w:t>
      </w:r>
      <w:r>
        <w:rPr>
          <w:vertAlign w:val="subscript"/>
        </w:rPr>
        <w:t xml:space="preserve">c</w:t>
      </w:r>
      <w:r>
        <w:rPr>
          <w:i/>
          <w:iCs/>
        </w:rPr>
        <w:t xml:space="preserve">|</w:t>
      </w:r>
    </w:p>
    <w:p>
      <w:pPr>
        <w:spacing w:after="200" w:line="360"/>
      </w:pPr>
      <w:r>
        <w:t xml:space="preserve">This y-distance-based approach creates a horizontal band-shaped deformation field that extends across the entire width of the lower face at the level of the menton, rather than a localized spherical region. Vertices at the same vertical level as the menton receive equivalent displacement regardless of their horizontal position, which better simulates the clinical presentation of mandibular deviation where the entire chin region shifts laterally.</w:t>
      </w:r>
    </w:p>
    <w:p>
      <w:pPr>
        <w:spacing w:after="200" w:line="360"/>
      </w:pPr>
      <w:r>
        <w:t xml:space="preserve">The displacement amplitude (</w:t>
      </w:r>
      <w:r>
        <w:rPr>
          <w:i/>
          <w:iCs/>
        </w:rPr>
        <w:t xml:space="preserve">A</w:t>
      </w:r>
      <w:r>
        <w:t xml:space="preserve">) was set to values ranging from 2 to 12 mm, with kernel radius (</w:t>
      </w:r>
      <w:r>
        <w:rPr>
          <w:i/>
          <w:iCs/>
        </w:rPr>
        <w:t xml:space="preserve">r</w:t>
      </w:r>
      <w:r>
        <w:t xml:space="preserve">) = 15 mm and cutoff distance = 40 mm (in y-direction). All vertices within 40 mm vertical distance from the menton level received Gaussian-weighted displacement.</w:t>
      </w:r>
    </w:p>
    <w:p>
      <w:pPr>
        <w:spacing w:after="200" w:line="360"/>
      </w:pPr>
      <w:r>
        <w:t xml:space="preserve">To achieve more anatomically realistic deformation patterns, an asymmetric weighting scheme was applied to the right hemiface. For vertices on the left side of the face (x &lt; 0), the standard Gaussian weight was applied. For vertices on the right side (x &gt; 0), an additional exponential decay factor was multiplied:</w:t>
      </w:r>
    </w:p>
    <w:p>
      <w:pPr>
        <w:spacing w:before="200" w:after="200"/>
        <w:jc w:val="center"/>
      </w:pPr>
      <w:r>
        <w:rPr>
          <w:i/>
          <w:iCs/>
        </w:rPr>
        <w:t xml:space="preserve">w</w:t>
      </w:r>
      <w:r>
        <w:rPr>
          <w:vertAlign w:val="subscript"/>
        </w:rPr>
        <w:t xml:space="preserve">final</w:t>
      </w:r>
      <w:r>
        <w:rPr>
          <w:i/>
          <w:iCs/>
        </w:rPr>
        <w:t xml:space="preserve"> = w</w:t>
      </w:r>
      <w:r>
        <w:rPr>
          <w:vertAlign w:val="subscript"/>
        </w:rPr>
        <w:t xml:space="preserve">y</w:t>
      </w:r>
      <w:r>
        <w:rPr>
          <w:i/>
          <w:iCs/>
        </w:rPr>
        <w:t xml:space="preserve"> × exp(-0.5 × (x/r</w:t>
      </w:r>
      <w:r>
        <w:rPr>
          <w:vertAlign w:val="subscript"/>
        </w:rPr>
        <w:t xml:space="preserve">decay</w:t>
      </w:r>
      <w:r>
        <w:rPr>
          <w:i/>
          <w:iCs/>
        </w:rPr>
        <w:t xml:space="preserve">)²)    for x &gt; 0</w:t>
      </w:r>
    </w:p>
    <w:p>
      <w:pPr>
        <w:spacing w:after="200" w:line="360"/>
      </w:pPr>
      <w:r>
        <w:t xml:space="preserve">where </w:t>
      </w:r>
      <w:r>
        <w:rPr>
          <w:i/>
          <w:iCs/>
        </w:rPr>
        <w:t xml:space="preserve">r</w:t>
      </w:r>
      <w:r>
        <w:rPr>
          <w:vertAlign w:val="subscript"/>
        </w:rPr>
        <w:t xml:space="preserve">decay</w:t>
      </w:r>
      <w:r>
        <w:t xml:space="preserve"> was set to approximately 1.2 times the amplitude </w:t>
      </w:r>
      <w:r>
        <w:rPr>
          <w:i/>
          <w:iCs/>
        </w:rPr>
        <w:t xml:space="preserve">A</w:t>
      </w:r>
      <w:r>
        <w:t xml:space="preserve">. This modification ensures that while the left hemiface receives the full Gaussian-weighted displacement, the right hemiface experiences attenuated displacement that decreases with distance from the midline. The resulting deformation pattern mimics clinical mandibular asymmetry where the deviation is most pronounced on one side while the contralateral side shows progressively less displacement.</w:t>
      </w:r>
    </w:p>
    <w:p>
      <w:pPr>
        <w:spacing w:after="200" w:line="360"/>
      </w:pPr>
      <w:r>
        <w:t xml:space="preserve">[PLACEHOLDER: XX% of vertices (N = XXXX) were displaced in the menton region, while XX% of vertices (N = XXXX) remained stationary outside the cutoff region]</w:t>
      </w:r>
    </w:p>
    <w:p>
      <w:pPr>
        <w:pStyle w:val="Heading1"/>
      </w:pPr>
      <w:r>
        <w:t xml:space="preserve">Chapter 2: Methods for Quantifying Facial Asymmetry</w:t>
      </w:r>
    </w:p>
    <w:p>
      <w:pPr>
        <w:pStyle w:val="Heading2"/>
      </w:pPr>
      <w:r>
        <w:t xml:space="preserve">2.1 Ground Truth Asymmetry Values</w:t>
      </w:r>
    </w:p>
    <w:p>
      <w:pPr>
        <w:spacing w:after="200" w:line="360"/>
      </w:pPr>
      <w:r>
        <w:t xml:space="preserve">The ground truth asymmetry values were derived by exploiting the inherent bilateral symmetry of the original template face. Since the template is perfectly symmetric about the midsagittal plane (x = 0), each vertex on the left hemiface has a corresponding homologous vertex on the right hemiface with identical y and z coordinates but opposite x coordinates. These vertex correspondences were established </w:t>
      </w:r>
      <w:r>
        <w:rPr>
          <w:i/>
          <w:iCs/>
        </w:rPr>
        <w:t xml:space="preserve">a priori</w:t>
      </w:r>
      <w:r>
        <w:t xml:space="preserve"> from the template mesh topology before introducing any deformation.</w:t>
      </w:r>
    </w:p>
    <w:p>
      <w:pPr>
        <w:spacing w:after="200" w:line="360"/>
      </w:pPr>
      <w:r>
        <w:t xml:space="preserve">After applying the Gaussian deformation, the ground truth asymmetry value for each vertex was calculated as the Euclidean distance between the vertex and its mirrored corresponding point:</w:t>
      </w:r>
    </w:p>
    <w:p>
      <w:pPr>
        <w:spacing w:before="200" w:after="200"/>
        <w:jc w:val="center"/>
      </w:pPr>
      <w:r>
        <w:rPr>
          <w:i/>
          <w:iCs/>
        </w:rPr>
        <w:t xml:space="preserve">Asymmetry</w:t>
      </w:r>
      <w:r>
        <w:rPr>
          <w:vertAlign w:val="subscript"/>
        </w:rPr>
        <w:t xml:space="preserve">i</w:t>
      </w:r>
      <w:r>
        <w:rPr>
          <w:i/>
          <w:iCs/>
        </w:rPr>
        <w:t xml:space="preserve"> = ‖v</w:t>
      </w:r>
      <w:r>
        <w:rPr>
          <w:vertAlign w:val="subscript"/>
        </w:rPr>
        <w:t xml:space="preserve">i</w:t>
      </w:r>
      <w:r>
        <w:rPr>
          <w:i/>
          <w:iCs/>
        </w:rPr>
        <w:t xml:space="preserve"> − Mirror(v</w:t>
      </w:r>
      <w:r>
        <w:rPr>
          <w:vertAlign w:val="subscript"/>
        </w:rPr>
        <w:t xml:space="preserve">j</w:t>
      </w:r>
      <w:r>
        <w:rPr>
          <w:i/>
          <w:iCs/>
        </w:rPr>
        <w:t xml:space="preserve">)‖</w:t>
      </w:r>
    </w:p>
    <w:p>
      <w:pPr>
        <w:spacing w:after="200" w:line="360"/>
      </w:pPr>
      <w:r>
        <w:t xml:space="preserve">where v</w:t>
      </w:r>
      <w:r>
        <w:rPr>
          <w:vertAlign w:val="subscript"/>
        </w:rPr>
        <w:t xml:space="preserve">j</w:t>
      </w:r>
      <w:r>
        <w:t xml:space="preserve"> is the pre-determined corresponding vertex of v</w:t>
      </w:r>
      <w:r>
        <w:rPr>
          <w:vertAlign w:val="subscript"/>
        </w:rPr>
        <w:t xml:space="preserve">i</w:t>
      </w:r>
      <w:r>
        <w:t xml:space="preserve">, and Mirror() represents the reflection operation about the x = 0 plane. This approach provides the true point-wise displacement caused by the artificial asymmetry, serving as the reference standard for evaluating other quantification methods.</w:t>
      </w:r>
    </w:p>
    <w:p>
      <w:pPr>
        <w:pStyle w:val="Heading2"/>
      </w:pPr>
      <w:r>
        <w:t xml:space="preserve">2.2 Standard ICP-Based Method</w:t>
      </w:r>
    </w:p>
    <w:p>
      <w:pPr>
        <w:spacing w:after="200" w:line="360"/>
      </w:pPr>
      <w:r>
        <w:t xml:space="preserve">The second quantification approach followed a conventional workflow commonly employed in commercial software packages such as Geomagic Studio. This method relies on the Iterative Closest Point (ICP) algorithm to establish correspondence between the original face and its mirrored counterpart through rigid registration.</w:t>
      </w:r>
    </w:p>
    <w:p>
      <w:pPr>
        <w:spacing w:after="200" w:line="360"/>
      </w:pPr>
      <w:r>
        <w:rPr>
          <w:b/>
          <w:bCs/>
        </w:rPr>
        <w:t xml:space="preserve">Workflow Overview: </w:t>
      </w:r>
      <w:r>
        <w:t xml:space="preserve">The analysis proceeds as follows:</w:t>
      </w:r>
    </w:p>
    <w:p>
      <w:pPr>
        <w:pStyle w:val="ListParagraph"/>
        <w:numPr>
          <w:ilvl w:val="0"/>
          <w:numId w:val="2"/>
        </w:numPr>
        <w:spacing w:after="100" w:line="360"/>
      </w:pPr>
      <w:r>
        <w:t xml:space="preserve">The original asymmetric face mesh is imported into the software.</w:t>
      </w:r>
    </w:p>
    <w:p>
      <w:pPr>
        <w:pStyle w:val="ListParagraph"/>
        <w:numPr>
          <w:ilvl w:val="0"/>
          <w:numId w:val="2"/>
        </w:numPr>
        <w:spacing w:after="100" w:line="360"/>
      </w:pPr>
      <w:r>
        <w:t xml:space="preserve">A mirrored copy of the mesh is created by reflecting all vertices about the midsagittal plane (x = 0).</w:t>
      </w:r>
    </w:p>
    <w:p>
      <w:pPr>
        <w:pStyle w:val="ListParagraph"/>
        <w:numPr>
          <w:ilvl w:val="0"/>
          <w:numId w:val="2"/>
        </w:numPr>
        <w:spacing w:after="100" w:line="360"/>
      </w:pPr>
      <w:r>
        <w:t xml:space="preserve">Corresponding anatomical landmarks are identified on both meshes to provide an initial coarse alignment.</w:t>
      </w:r>
    </w:p>
    <w:p>
      <w:pPr>
        <w:pStyle w:val="ListParagraph"/>
        <w:numPr>
          <w:ilvl w:val="0"/>
          <w:numId w:val="2"/>
        </w:numPr>
        <w:spacing w:after="100" w:line="360"/>
      </w:pPr>
      <w:r>
        <w:t xml:space="preserve">The ICP algorithm iteratively refines the alignment by computing an optimal rigid transformation (rotation and translation) that minimizes the distance between the two surfaces.</w:t>
      </w:r>
    </w:p>
    <w:p>
      <w:pPr>
        <w:pStyle w:val="ListParagraph"/>
        <w:numPr>
          <w:ilvl w:val="0"/>
          <w:numId w:val="2"/>
        </w:numPr>
        <w:spacing w:after="200" w:line="360"/>
      </w:pPr>
      <w:r>
        <w:t xml:space="preserve">After convergence, the asymmetry value for each vertex is computed as the perpendicular distance from the vertex on the original mesh to the nearest triangular face on the registered mirrored mesh.</w:t>
      </w:r>
    </w:p>
    <w:p>
      <w:pPr>
        <w:spacing w:after="200" w:line="360"/>
      </w:pPr>
      <w:r>
        <w:rPr>
          <w:b/>
          <w:bCs/>
        </w:rPr>
        <w:t xml:space="preserve">ICP Algorithm Details: </w:t>
      </w:r>
      <w:r>
        <w:t xml:space="preserve">The Iterative Closest Point algorithm is a well-established method for aligning two point sets or surfaces. The algorithm proceeds through the following iterative steps:</w:t>
      </w:r>
    </w:p>
    <w:p>
      <w:pPr>
        <w:spacing w:after="200" w:line="360"/>
      </w:pPr>
      <w:r>
        <w:rPr>
          <w:i/>
          <w:iCs/>
        </w:rPr>
        <w:t xml:space="preserve">Step 1 - Correspondence Estimation: </w:t>
      </w:r>
      <w:r>
        <w:t xml:space="preserve">For each point on the source surface (mirrored mesh), the algorithm identifies the closest point on the target surface (original mesh). In the point-to-surface variant, this closest point is computed as the nearest point on any triangular face of the target mesh, which may lie on a face interior, edge, or vertex. This is achieved by projecting each source point onto all nearby triangles and selecting the projection with minimum distance.</w:t>
      </w:r>
    </w:p>
    <w:p>
      <w:pPr>
        <w:spacing w:after="200" w:line="360"/>
      </w:pPr>
      <w:r>
        <w:rPr>
          <w:i/>
          <w:iCs/>
        </w:rPr>
        <w:t xml:space="preserve">Step 2 - Transformation Estimation: </w:t>
      </w:r>
      <w:r>
        <w:t xml:space="preserve">Given the set of point correspondences, the algorithm computes the optimal rigid transformation (rotation matrix </w:t>
      </w:r>
      <w:r>
        <w:rPr>
          <w:b/>
          <w:bCs/>
          <w:i/>
          <w:iCs/>
        </w:rPr>
        <w:t xml:space="preserve">R</w:t>
      </w:r>
      <w:r>
        <w:t xml:space="preserve"> and translation vector </w:t>
      </w:r>
      <w:r>
        <w:rPr>
          <w:b/>
          <w:bCs/>
          <w:i/>
          <w:iCs/>
        </w:rPr>
        <w:t xml:space="preserve">t</w:t>
      </w:r>
      <w:r>
        <w:t xml:space="preserve">) that minimizes the sum of squared distances between corresponding point pairs. This is typically solved using Singular Value Decomposition (SVD) of the cross-covariance matrix of the centered point sets. The optimal rotation is obtained from the SVD components, and the translation is computed from the centroids of the two point sets.</w:t>
      </w:r>
    </w:p>
    <w:p>
      <w:pPr>
        <w:spacing w:after="200" w:line="360"/>
      </w:pPr>
      <w:r>
        <w:rPr>
          <w:i/>
          <w:iCs/>
        </w:rPr>
        <w:t xml:space="preserve">Step 3 - Transformation Application: </w:t>
      </w:r>
      <w:r>
        <w:t xml:space="preserve">The computed rigid transformation is applied to all points on the source surface, bringing it into closer alignment with the target surface.</w:t>
      </w:r>
    </w:p>
    <w:p>
      <w:pPr>
        <w:spacing w:after="200" w:line="360"/>
      </w:pPr>
      <w:r>
        <w:rPr>
          <w:i/>
          <w:iCs/>
        </w:rPr>
        <w:t xml:space="preserve">Step 4 - Convergence Check: </w:t>
      </w:r>
      <w:r>
        <w:t xml:space="preserve">The algorithm computes the mean squared error (MSE) between corresponding points after transformation. If the relative or absolute change in MSE falls below predetermined thresholds, or if the maximum number of iterations is reached, the algorithm terminates. Otherwise, it returns to Step 1 with the updated source positions.</w:t>
      </w:r>
    </w:p>
    <w:p>
      <w:pPr>
        <w:spacing w:after="200" w:line="360"/>
      </w:pPr>
      <w:r>
        <w:rPr>
          <w:b/>
          <w:bCs/>
        </w:rPr>
        <w:t xml:space="preserve">Point-to-Surface Distance Calculation: </w:t>
      </w:r>
      <w:r>
        <w:t xml:space="preserve">After ICP convergence, the asymmetry value for each vertex on the original mesh is computed as the point-to-surface distance. For a query point </w:t>
      </w:r>
      <w:r>
        <w:rPr>
          <w:i/>
          <w:iCs/>
        </w:rPr>
        <w:t xml:space="preserve">p</w:t>
      </w:r>
      <w:r>
        <w:t xml:space="preserve">, this distance is defined as the minimum Euclidean distance from </w:t>
      </w:r>
      <w:r>
        <w:rPr>
          <w:i/>
          <w:iCs/>
        </w:rPr>
        <w:t xml:space="preserve">p</w:t>
      </w:r>
      <w:r>
        <w:t xml:space="preserve"> to any point on the target surface:</w:t>
      </w:r>
    </w:p>
    <w:p>
      <w:pPr>
        <w:spacing w:before="200" w:after="200"/>
        <w:jc w:val="center"/>
      </w:pPr>
      <w:r>
        <w:rPr>
          <w:i/>
          <w:iCs/>
        </w:rPr>
        <w:t xml:space="preserve">d</w:t>
      </w:r>
      <w:r>
        <w:rPr>
          <w:vertAlign w:val="subscript"/>
        </w:rPr>
        <w:t xml:space="preserve">surface</w:t>
      </w:r>
      <w:r>
        <w:rPr>
          <w:i/>
          <w:iCs/>
        </w:rPr>
        <w:t xml:space="preserve">(p) = min</w:t>
      </w:r>
      <w:r>
        <w:rPr>
          <w:vertAlign w:val="subscript"/>
        </w:rPr>
        <w:t xml:space="preserve">q∈S</w:t>
      </w:r>
      <w:r>
        <w:rPr>
          <w:i/>
          <w:iCs/>
        </w:rPr>
        <w:t xml:space="preserve"> ‖p - q‖</w:t>
      </w:r>
    </w:p>
    <w:p>
      <w:pPr>
        <w:spacing w:after="200" w:line="360"/>
      </w:pPr>
      <w:r>
        <w:t xml:space="preserve">where </w:t>
      </w:r>
      <w:r>
        <w:rPr>
          <w:i/>
          <w:iCs/>
        </w:rPr>
        <w:t xml:space="preserve">S</w:t>
      </w:r>
      <w:r>
        <w:t xml:space="preserve"> represents the target surface. For a triangular mesh, this requires computing the closest point on each nearby triangle (which may be a face interior point, edge point, or vertex) and selecting the minimum distance.</w:t>
      </w:r>
    </w:p>
    <w:p>
      <w:pPr>
        <w:spacing w:after="200" w:line="360"/>
      </w:pPr>
      <w:r>
        <w:rPr>
          <w:b/>
          <w:bCs/>
        </w:rPr>
        <w:t xml:space="preserve">Inherent Limitations: </w:t>
      </w:r>
      <w:r>
        <w:t xml:space="preserve">This method has several important limitations. First, the ICP algorithm only estimates a global rigid transformation, meaning it finds the single rotation and translation that best aligns the two surfaces overall. It does not account for local variations in correspondence and cannot adapt to regional differences in asymmetry. Second, the point-to-surface distance metric measures the shortest perpendicular distance to the mirrored surface, which may substantially differ from the true displacement vector of anatomically corresponding points, particularly on curved surfaces or when displacement has significant tangential components. Third, no true anatomical correspondence is established between the original and mirrored meshes; vertices are matched solely based on geometric proximity after rigid alignment.</w:t>
      </w:r>
    </w:p>
    <w:p>
      <w:pPr>
        <w:pStyle w:val="Heading2"/>
      </w:pPr>
      <w:r>
        <w:t xml:space="preserve">2.3 Template-Based Dense Registration Method</w:t>
      </w:r>
    </w:p>
    <w:p>
      <w:pPr>
        <w:spacing w:after="200" w:line="360"/>
      </w:pPr>
      <w:r>
        <w:t xml:space="preserve">The third quantification method employed dense surface registration using a non-rigid transformation approach. This method leverages a symmetric template face to establish dense anatomical correspondences across the entire facial surface, enabling direct comparison between corresponding points on the left and right hemifaces.</w:t>
      </w:r>
    </w:p>
    <w:p>
      <w:pPr>
        <w:spacing w:after="200" w:line="360"/>
      </w:pPr>
      <w:r>
        <w:rPr>
          <w:b/>
          <w:bCs/>
        </w:rPr>
        <w:t xml:space="preserve">Conceptual Framework: </w:t>
      </w:r>
      <w:r>
        <w:t xml:space="preserve">Unlike the ICP-based approach that attempts to align the mirrored face to the original through rigid transformation, the template-based method deforms a symmetric reference face to match the shape of the target face. Since the template maintains known vertex correspondences between left and right sides (established from its inherent symmetry), these correspondences are preserved after registration and can be used directly to quantify asymmetry.</w:t>
      </w:r>
    </w:p>
    <w:p>
      <w:pPr>
        <w:spacing w:after="200" w:line="360"/>
      </w:pPr>
      <w:r>
        <w:rPr>
          <w:b/>
          <w:bCs/>
        </w:rPr>
        <w:t xml:space="preserve">Two-Stage Registration Process: </w:t>
      </w:r>
      <w:r>
        <w:t xml:space="preserve">The registration proceeds through two sequential stages that progressively refine the alignment:</w:t>
      </w:r>
    </w:p>
    <w:p>
      <w:pPr>
        <w:spacing w:after="200" w:line="360"/>
      </w:pPr>
      <w:r>
        <w:rPr>
          <w:i/>
          <w:iCs/>
        </w:rPr>
        <w:t xml:space="preserve">Stage 1 - Rigid Registration: </w:t>
      </w:r>
      <w:r>
        <w:t xml:space="preserve">The first stage performs scaled rigid alignment to bring the template into approximate correspondence with the target face. This typically employs a variant of the ICP algorithm that estimates rotation, translation, and uniform scaling parameters. Anatomical landmarks placed on both the template and target may be used to provide initial alignment and guide the registration. The algorithm iteratively establishes point correspondences, estimates the optimal similarity transformation, and applies it to the template vertices. Symmetric correspondence matching (considering both source-to-target and target-to-source distances) and orientation-based filtering help ensure robust alignment. This stage corrects for differences in head pose, position, and overall facial size between the template and target.</w:t>
      </w:r>
    </w:p>
    <w:p>
      <w:pPr>
        <w:spacing w:after="200" w:line="360"/>
      </w:pPr>
      <w:r>
        <w:rPr>
          <w:i/>
          <w:iCs/>
        </w:rPr>
        <w:t xml:space="preserve">Stage 2 - Non-Rigid Registration: </w:t>
      </w:r>
      <w:r>
        <w:t xml:space="preserve">Following rigid alignment, a non-rigid deformation is applied to warp the template surface to precisely match the target facial morphology. This stage employs a regularized deformation model that allows local adjustments while maintaining surface smoothness and preventing mesh folding.</w:t>
      </w:r>
    </w:p>
    <w:p>
      <w:pPr>
        <w:spacing w:after="200" w:line="360"/>
      </w:pPr>
      <w:r>
        <w:t xml:space="preserve">The non-rigid transformation is computed iteratively through a correspondence-deformation loop. In each iteration, correspondences are established between template vertices and their closest points on the target surface using symmetric k-nearest-neighbor matching with orientation compatibility filtering. Outliers are identified and down-weighted based on statistical distance thresholds to prevent erroneous correspondences from corrupting the deformation field.</w:t>
      </w:r>
    </w:p>
    <w:p>
      <w:pPr>
        <w:spacing w:after="200" w:line="360"/>
      </w:pPr>
      <w:r>
        <w:t xml:space="preserve">The deformation itself is computed using a neighborhood-based regularization scheme. Each vertex's displacement is influenced by the displacements of its neighboring vertices, creating a smooth deformation field that respects local surface structure. The regularization is controlled through viscous and elastic constraints that govern how displacement propagates across the surface. Viscous regularization enforces similarity between neighboring vertex displacements during the early iterations, creating globally smooth deformations. Elastic regularization constrains the local stretching and compression of the mesh. These regularization strengths are gradually reduced over the course of registration, allowing progressively finer surface details to be captured.</w:t>
      </w:r>
    </w:p>
    <w:p>
      <w:pPr>
        <w:spacing w:after="200" w:line="360"/>
      </w:pPr>
      <w:r>
        <w:t xml:space="preserve">Boundary vertices of both template and target meshes are flagged to prevent inappropriate matching near mesh edges. Similarly, triangles with abnormal sizes (very large or very small compared to the mesh average) are detected and excluded from correspondence computation to avoid artifacts from mesh quality issues.</w:t>
      </w:r>
    </w:p>
    <w:p>
      <w:pPr>
        <w:spacing w:after="200" w:line="360"/>
      </w:pPr>
      <w:r>
        <w:rPr>
          <w:b/>
          <w:bCs/>
        </w:rPr>
        <w:t xml:space="preserve">Asymmetry Quantification: </w:t>
      </w:r>
      <w:r>
        <w:t xml:space="preserve">After registration, the transformed template mesh maintains the same vertex topology as the original template. Since the original template is bilaterally symmetric with known left-right vertex correspondences, asymmetry values can be computed directly from the registered mesh. The calculation follows the approach described by Ekrami </w:t>
      </w:r>
      <w:r>
        <w:rPr>
          <w:i/>
          <w:iCs/>
        </w:rPr>
        <w:t xml:space="preserve">et al.</w:t>
      </w:r>
      <w:r>
        <w:t xml:space="preserve">:</w:t>
      </w:r>
    </w:p>
    <w:p>
      <w:pPr>
        <w:pStyle w:val="ListParagraph"/>
        <w:numPr>
          <w:ilvl w:val="0"/>
          <w:numId w:val="3"/>
        </w:numPr>
        <w:spacing w:after="100" w:line="360"/>
      </w:pPr>
      <w:r>
        <w:t xml:space="preserve">The registered face mesh is reflected about the midsagittal plane to create a mirrored version.</w:t>
      </w:r>
    </w:p>
    <w:p>
      <w:pPr>
        <w:pStyle w:val="ListParagraph"/>
        <w:numPr>
          <w:ilvl w:val="0"/>
          <w:numId w:val="3"/>
        </w:numPr>
        <w:spacing w:after="100" w:line="360"/>
      </w:pPr>
      <w:r>
        <w:t xml:space="preserve">Vertex indices are relabeled according to the known left-right correspondences from the template, so that corresponding vertices on the original and mirrored meshes have the same index.</w:t>
      </w:r>
    </w:p>
    <w:p>
      <w:pPr>
        <w:pStyle w:val="ListParagraph"/>
        <w:numPr>
          <w:ilvl w:val="0"/>
          <w:numId w:val="3"/>
        </w:numPr>
        <w:spacing w:after="100" w:line="360"/>
      </w:pPr>
      <w:r>
        <w:t xml:space="preserve">The original and relabeled mirrored faces are aligned using weighted Procrustes superimposition. This alignment uses iterative outlier down-weighting to prevent highly asymmetric vertices from dominating the alignment.</w:t>
      </w:r>
    </w:p>
    <w:p>
      <w:pPr>
        <w:pStyle w:val="ListParagraph"/>
        <w:numPr>
          <w:ilvl w:val="0"/>
          <w:numId w:val="3"/>
        </w:numPr>
        <w:spacing w:after="200" w:line="360"/>
      </w:pPr>
      <w:r>
        <w:t xml:space="preserve">After Procrustes alignment, the asymmetry value for each vertex is computed as the Euclidean distance between its position on the original face and its position on the reflected/relabeled face.</w:t>
      </w:r>
    </w:p>
    <w:p>
      <w:pPr>
        <w:spacing w:after="200" w:line="360"/>
      </w:pPr>
      <w:r>
        <w:t xml:space="preserve">This approach ensures that asymmetry is measured between true anatomical correspondences rather than arbitrary closest points, providing more biologically meaningful quantification of facial asymmetry.</w:t>
      </w:r>
    </w:p>
    <w:p>
      <w:pPr>
        <w:pStyle w:val="Heading1"/>
      </w:pPr>
      <w:r>
        <w:t xml:space="preserve">Chapter 3: Results and Evaluation</w:t>
      </w:r>
    </w:p>
    <w:p>
      <w:pPr>
        <w:pStyle w:val="Heading2"/>
      </w:pPr>
      <w:r>
        <w:t xml:space="preserve">3.1 Overall Comparison</w:t>
      </w:r>
    </w:p>
    <w:p>
      <w:pPr>
        <w:spacing w:after="200" w:line="360"/>
      </w:pPr>
      <w:r>
        <w:t xml:space="preserve">The three asymmetry quantification methods were evaluated on artificially asymmetric faces generated with varying deformation amplitudes. Table 1 summarizes the overall performance metrics for the menton asymmetry experiment with maximum displacement of 12 mm.</w:t>
      </w:r>
    </w:p>
    <w:p>
      <w:pPr>
        <w:spacing w:after="200" w:line="360"/>
      </w:pPr>
      <w:r>
        <w:rPr>
          <w:b/>
          <w:bCs/>
        </w:rPr>
        <w:t xml:space="preserve">Menton Asymmetry (12 mm displacement): </w:t>
      </w:r>
      <w:r>
        <w:t xml:space="preserve">The ground truth asymmetry exhibited a maximum distance of 24.01 mm at the center of deformation, with mean asymmetry of 3.93 mm and RMSE of 6.10 mm across all vertices. The template-based dense registration method produced highly concordant results with the ground truth: maximum = 24.01 mm, mean = 3.75 mm, and RMSE = 5.83 mm. In contrast, the ICP-based method substantially underestimated the asymmetry magnitude: maximum = 5.46 mm, mean = 0.88 mm, and RMSE = 2.27 mm. The ICP method detected only 22.7% of the true maximum asymmetry and 22.4% of the true mean asymmetry.</w:t>
      </w:r>
    </w:p>
    <w:p>
      <w:pPr>
        <w:spacing w:after="200" w:line="360"/>
      </w:pPr>
      <w:r>
        <w:rPr>
          <w:b/>
          <w:bCs/>
        </w:rPr>
        <w:t xml:space="preserve">Nasal Tip Asymmetry (3 mm displacement): </w:t>
      </w:r>
      <w:r>
        <w:t xml:space="preserve">For the nasal tip asymmetry experiment, the ground truth showed maximum distance = 5.96 mm, mean = 0.46 mm, and RMSE = 0.94 mm. The dense registration method achieved comparable accuracy with maximum = 5.96 mm, mean = 0.45 mm, and RMSE = 0.93 mm. The ICP-based method yielded similar overall magnitude (maximum = 3.59 mm, mean = 0.24 mm, RMSE = 0.93 mm) but with a fundamentally different spatial distribution pattern as discussed below.</w:t>
      </w:r>
    </w:p>
    <w:p>
      <w:pPr>
        <w:spacing w:after="200" w:line="360"/>
      </w:pPr>
      <w:r>
        <w:rPr>
          <w:b/>
          <w:bCs/>
        </w:rPr>
        <w:t xml:space="preserve">The Pinocchio Effect: </w:t>
      </w:r>
      <w:r>
        <w:t xml:space="preserve">The discrepancy between the ICP-based method and the ground truth reveals a systematic phenomenon termed the "Pinocchio effect" in facial morphometric analysis. This artifact arises from the inherent limitations of rigid registration approaches when applied to asymmetric structures.</w:t>
      </w:r>
    </w:p>
    <w:p>
      <w:pPr>
        <w:spacing w:after="200" w:line="360"/>
      </w:pPr>
      <w:r>
        <w:t xml:space="preserve">The ICP algorithm optimizes a global rigid transformation (rotation and translation) to minimize the overall point-to-surface distance between the mirrored and original faces. When one region of the face is asymmetrically displaced while other regions remain symmetric, the algorithm distributes the alignment error across the entire face to achieve the lowest average distance. Consequently, it rotates and translates the mirrored mesh in a way that partially compensates for the localized asymmetry but introduces apparent asymmetry in regions that are actually symmetric. The result is that true asymmetry is underestimated in the affected region while spurious asymmetry appears in unaffected regions.</w:t>
      </w:r>
    </w:p>
    <w:p>
      <w:pPr>
        <w:spacing w:after="200" w:line="360"/>
      </w:pPr>
      <w:r>
        <w:t xml:space="preserve">Furthermore, the point-to-surface distance metric used in the ICP-based method has an inherent geometric limitation. When a point is displaced by a known distance from its original position, the shortest perpendicular distance to the mirrored surface is generally smaller than the actual displacement magnitude. This is because the perpendicular distance measures the shortest path to the surface, which may be substantially shorter than the true displacement vector, particularly on curved surfaces or when the displacement has significant components tangential to the local surface orientation. From our definition of ground truth (distance between anatomically corresponding points), it is evident that the point-to-surface metric fundamentally cannot capture the true displacement magnitude when the corresponding point does not lie at the location of perpendicular projection.</w:t>
      </w:r>
    </w:p>
    <w:p>
      <w:pPr>
        <w:pStyle w:val="Heading2"/>
      </w:pPr>
      <w:r>
        <w:t xml:space="preserve">3.2 Regional Analysis</w:t>
      </w:r>
    </w:p>
    <w:p>
      <w:pPr>
        <w:spacing w:after="200" w:line="360"/>
      </w:pPr>
      <w:r>
        <w:t xml:space="preserve">To further characterize the Pinocchio effect and evaluate regional accuracy, the face was partitioned into six anatomical regions using seven reference landmarks defining horizontal and oblique boundaries. The partition was based on anatomically meaningful divisions:</w:t>
      </w:r>
    </w:p>
    <w:p>
      <w:pPr>
        <w:pStyle w:val="ListParagraph"/>
        <w:numPr>
          <w:ilvl w:val="0"/>
          <w:numId w:val="4"/>
        </w:numPr>
        <w:spacing w:after="100" w:line="360"/>
      </w:pPr>
      <w:r>
        <w:rPr>
          <w:b/>
          <w:bCs/>
        </w:rPr>
        <w:t xml:space="preserve">Region 1 (Forehead):</w:t>
      </w:r>
      <w:r>
        <w:t xml:space="preserve"> The superior facial region above the level of the glabella (850 vertices)</w:t>
      </w:r>
    </w:p>
    <w:p>
      <w:pPr>
        <w:pStyle w:val="ListParagraph"/>
        <w:numPr>
          <w:ilvl w:val="0"/>
          <w:numId w:val="4"/>
        </w:numPr>
        <w:spacing w:after="100" w:line="360"/>
      </w:pPr>
      <w:r>
        <w:rPr>
          <w:b/>
          <w:bCs/>
        </w:rPr>
        <w:t xml:space="preserve">Region 2 (Upper Cheeks):</w:t>
      </w:r>
      <w:r>
        <w:t xml:space="preserve"> The periorbital and upper malar regions lateral to the nasal dorsum (667 vertices)</w:t>
      </w:r>
    </w:p>
    <w:p>
      <w:pPr>
        <w:pStyle w:val="ListParagraph"/>
        <w:numPr>
          <w:ilvl w:val="0"/>
          <w:numId w:val="4"/>
        </w:numPr>
        <w:spacing w:after="100" w:line="360"/>
      </w:pPr>
      <w:r>
        <w:rPr>
          <w:b/>
          <w:bCs/>
        </w:rPr>
        <w:t xml:space="preserve">Region 3 (Lower Cheeks):</w:t>
      </w:r>
      <w:r>
        <w:t xml:space="preserve"> The lower malar and buccal regions between the nasal base and mentolabial fold levels (2,318 vertices)</w:t>
      </w:r>
    </w:p>
    <w:p>
      <w:pPr>
        <w:pStyle w:val="ListParagraph"/>
        <w:numPr>
          <w:ilvl w:val="0"/>
          <w:numId w:val="4"/>
        </w:numPr>
        <w:spacing w:after="100" w:line="360"/>
      </w:pPr>
      <w:r>
        <w:rPr>
          <w:b/>
          <w:bCs/>
        </w:rPr>
        <w:t xml:space="preserve">Region 4 (Upper Nasal Bridge):</w:t>
      </w:r>
      <w:r>
        <w:t xml:space="preserve"> The nasal dorsum from glabella to pronasale level, bounded laterally by oblique lines to the alar crease (760 vertices)</w:t>
      </w:r>
    </w:p>
    <w:p>
      <w:pPr>
        <w:pStyle w:val="ListParagraph"/>
        <w:numPr>
          <w:ilvl w:val="0"/>
          <w:numId w:val="4"/>
        </w:numPr>
        <w:spacing w:after="100" w:line="360"/>
      </w:pPr>
      <w:r>
        <w:rPr>
          <w:b/>
          <w:bCs/>
        </w:rPr>
        <w:t xml:space="preserve">Region 5 (Lower Nasal Bridge):</w:t>
      </w:r>
      <w:r>
        <w:t xml:space="preserve"> The nasal tip and alar regions from pronasale to subnasale level (400 vertices)</w:t>
      </w:r>
    </w:p>
    <w:p>
      <w:pPr>
        <w:pStyle w:val="ListParagraph"/>
        <w:numPr>
          <w:ilvl w:val="0"/>
          <w:numId w:val="4"/>
        </w:numPr>
        <w:spacing w:after="200" w:line="360"/>
      </w:pPr>
      <w:r>
        <w:rPr>
          <w:b/>
          <w:bCs/>
        </w:rPr>
        <w:t xml:space="preserve">Region 6 (Chin):</w:t>
      </w:r>
      <w:r>
        <w:t xml:space="preserve"> The mandibular symphysis region below the mentolabial fold, including the lower lip and chin proper (2,165 vertices)</w:t>
      </w:r>
    </w:p>
    <w:p>
      <w:pPr>
        <w:pStyle w:val="Heading3"/>
      </w:pPr>
      <w:r>
        <w:t xml:space="preserve">3.2.1 Menton Asymmetry Results</w:t>
      </w:r>
    </w:p>
    <w:p>
      <w:pPr>
        <w:spacing w:after="200" w:line="360"/>
      </w:pPr>
      <w:r>
        <w:t xml:space="preserve">Based on our deformation method, the menton asymmetry should be concentrated exclusively in Region 6 (chin), with other regions remaining symmetric. The ground truth results confirmed this expectation: Region 6 exhibited RMSE = 11.09 mm and maximum distance = 24.01 mm, while all other regions showed essentially zero asymmetry (RMSE &lt; 0.18 mm for Regions 1-5, with 93.75-100% of vertices within 0.5 mm of zero).</w:t>
      </w:r>
    </w:p>
    <w:p>
      <w:pPr>
        <w:spacing w:after="200" w:line="360"/>
      </w:pPr>
      <w:r>
        <w:t xml:space="preserve">The template-based dense registration method accurately reproduced this spatial pattern. Region 6 showed RMSE = 10.60 mm and maximum = 24.01 mm, closely matching the ground truth. Other regions maintained minimal asymmetry values (RMSE ranging from 0.0002 mm to 0.17 mm), with 93.75-100% of vertices within 0.5 mm of zero asymmetry. The method correctly identified the chin as the sole region of asymmetry.</w:t>
      </w:r>
    </w:p>
    <w:p>
      <w:pPr>
        <w:spacing w:after="200" w:line="360"/>
      </w:pPr>
      <w:r>
        <w:t xml:space="preserve">In stark contrast, the ICP-based method exhibited pronounced Pinocchio effect. Region 6 showed RMSE = 3.28 mm (only 29.6% of the true value) and maximum = 5.46 mm (only 22.7% of true maximum). Simultaneously, substantial spurious asymmetry appeared in all other regions: Region 1 (RMSE = 1.53 mm), Region 2 (RMSE = 2.17 mm), Region 3 (RMSE = 1.60 mm), Region 4 (RMSE = 1.31 mm), and Region 5 (RMSE = 1.86 mm). The percentage of vertices within 0.5 mm dropped to 1.2-6.7% across all regions, compared to 93.75-100% in the ground truth for non-affected regions.</w:t>
      </w:r>
    </w:p>
    <w:p>
      <w:pPr>
        <w:pStyle w:val="Heading3"/>
      </w:pPr>
      <w:r>
        <w:t xml:space="preserve">3.2.2 Nasal Tip Asymmetry Results</w:t>
      </w:r>
    </w:p>
    <w:p>
      <w:pPr>
        <w:spacing w:after="200" w:line="360"/>
      </w:pPr>
      <w:r>
        <w:t xml:space="preserve">For the nasal tip deformation, asymmetry should be concentrated in Regions 4 and 5 (nasal bridge and nasal tip), with other regions remaining symmetric. The ground truth confirmed this: Region 4 showed RMSE = 2.78 mm and maximum = 5.96 mm, Region 5 showed RMSE = 1.05 mm and maximum = 3.17 mm, while Regions 1, 2, 3, and 6 exhibited minimal asymmetry (RMSE &lt; 0.09 mm, with 99.6-100% of vertices within 0.5 mm).</w:t>
      </w:r>
    </w:p>
    <w:p>
      <w:pPr>
        <w:spacing w:after="200" w:line="360"/>
      </w:pPr>
      <w:r>
        <w:t xml:space="preserve">The dense registration method accurately replicated this pattern. Regions 4 and 5 showed RMSE values of 2.75 mm and 1.02 mm respectively, closely matching the ground truth. Unaffected regions maintained RMSE below 0.08 mm, with 99.9-100% of vertices within 0.5 mm of zero asymmetry.</w:t>
      </w:r>
    </w:p>
    <w:p>
      <w:pPr>
        <w:spacing w:after="200" w:line="360"/>
      </w:pPr>
      <w:r>
        <w:t xml:space="preserve">The ICP-based method again demonstrated the Pinocchio effect, though less dramatically than in the menton case. Regions 4 and 5 showed underestimated RMSE values of 1.21 mm (43.5% of true) and 0.87 mm (82.9% of true). However, spurious asymmetry appeared throughout unaffected regions: Region 1 (RMSE = 0.73 mm), Region 2 (RMSE = 0.86 mm), Region 3 (RMSE = 0.90 mm), and Region 6 (RMSE = 0.94 mm). The compliance rate (percentage within 0.5 mm) ranged from only 3.6% to 25.3% across all regions, compared to 99.6-100% in Regions 1, 2, 3, and 6 for both ground truth and dense registration methods.</w:t>
      </w:r>
    </w:p>
    <w:p>
      <w:pPr>
        <w:pStyle w:val="Heading2"/>
      </w:pPr>
      <w:r>
        <w:t xml:space="preserve">3.3 Conclusions</w:t>
      </w:r>
    </w:p>
    <w:p>
      <w:pPr>
        <w:spacing w:after="200" w:line="360"/>
      </w:pPr>
      <w:r>
        <w:t xml:space="preserve">The results demonstrate that the template-based dense registration method provides significantly more accurate asymmetry quantification compared to the standard ICP-based approach. The dense registration method achieved asymmetry values within 5% of the ground truth and correctly localized asymmetry to the anatomically affected regions.</w:t>
      </w:r>
    </w:p>
    <w:p>
      <w:pPr>
        <w:spacing w:after="200" w:line="360"/>
      </w:pPr>
      <w:r>
        <w:t xml:space="preserve">The ICP-based method exhibited two critical limitations: (1) systematic underestimation of asymmetry magnitude in the affected regions, with measured values as low as 22.7% of the true asymmetry in the menton experiment; and (2) artificial redistribution of asymmetry values across unaffected regions (Pinocchio effect), causing false-positive detection of asymmetry where none exists. These limitations stem from the method's reliance on rigid transformation optimization that distributes alignment error globally, and the use of point-to-surface distance metrics that do not capture true anatomical correspondence.</w:t>
      </w:r>
    </w:p>
    <w:p>
      <w:pPr>
        <w:spacing w:after="200" w:line="360"/>
      </w:pPr>
      <w:r>
        <w:t xml:space="preserve">For clinical and research applications requiring accurate localization and quantification of facial asymmetry, template-based dense registration methods are strongly recommended over conventional ICP-based approaches. The ability to correctly identify which facial regions are affected and to accurately measure the magnitude of deviation is essential for diagnosis, treatment planning, and outcome assessment in conditions involving facial asymmetry.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2026-01-29T12:38:37.303Z</dcterms:created>
  <dcterms:modified xsi:type="dcterms:W3CDTF">2026-01-29T12:38:37.304Z</dcterms:modified>
</cp:coreProperties>
</file>

<file path=docProps/custom.xml><?xml version="1.0" encoding="utf-8"?>
<Properties xmlns="http://schemas.openxmlformats.org/officeDocument/2006/custom-properties" xmlns:vt="http://schemas.openxmlformats.org/officeDocument/2006/docPropsVTypes"/>
</file>