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983"/>
        <w:gridCol w:w="2654"/>
      </w:tblGrid>
      <w:tr>
        <w:trPr/>
        <w:tc>
          <w:tcPr>
            <w:tcW w:w="6983" w:type="dxa"/>
            <w:tcBorders>
              <w:top w:val="single" w:sz="4" w:space="0" w:color="FBFBFB"/>
              <w:start w:val="single" w:sz="4" w:space="0" w:color="FBFBFB"/>
              <w:bottom w:val="single" w:sz="4" w:space="0" w:color="FBFBFB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654" w:type="dxa"/>
            <w:tcBorders>
              <w:top w:val="single" w:sz="4" w:space="0" w:color="FBFBFB"/>
              <w:start w:val="single" w:sz="4" w:space="0" w:color="FBFBFB"/>
              <w:bottom w:val="single" w:sz="4" w:space="0" w:color="FBFBFB"/>
              <w:end w:val="single" w:sz="4" w:space="0" w:color="FBFBFB"/>
            </w:tcBorders>
          </w:tcPr>
          <w:p>
            <w:pPr>
              <w:pStyle w:val="Normal"/>
              <w:jc w:val="end"/>
              <w:rPr>
                <w:sz w:val="24"/>
                <w:szCs w:val="24"/>
              </w:rPr>
            </w:pPr>
            <w:r>
              <w:rPr/>
              <w:t>Дело № {{CASE_NO}}</w:t>
            </w:r>
          </w:p>
        </w:tc>
      </w:tr>
    </w:tbl>
    <w:p>
      <w:pPr>
        <w:pStyle w:val="Normal"/>
        <w:jc w:val="end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34"/>
        <w:gridCol w:w="994"/>
        <w:gridCol w:w="5299"/>
        <w:gridCol w:w="1086"/>
        <w:gridCol w:w="1125"/>
      </w:tblGrid>
      <w:tr>
        <w:trPr/>
        <w:tc>
          <w:tcPr>
            <w:tcW w:w="2128" w:type="dxa"/>
            <w:gridSpan w:val="2"/>
            <w:tcBorders>
              <w:top w:val="single" w:sz="4" w:space="0" w:color="FBFBFB"/>
              <w:start w:val="single" w:sz="4" w:space="0" w:color="FBFBFB"/>
              <w:bottom w:val="single" w:sz="4" w:space="0" w:color="FBFBFB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299" w:type="dxa"/>
            <w:tcBorders>
              <w:top w:val="single" w:sz="4" w:space="0" w:color="FBFBFB"/>
              <w:start w:val="single" w:sz="4" w:space="0" w:color="FBFBFB"/>
              <w:bottom w:val="single" w:sz="4" w:space="0" w:color="FBFBFB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ОПРЕДЕЛЕНИЕ ТРЕТЕЙСКОГО СУДА</w:t>
            </w:r>
          </w:p>
        </w:tc>
        <w:tc>
          <w:tcPr>
            <w:tcW w:w="2211" w:type="dxa"/>
            <w:gridSpan w:val="2"/>
            <w:tcBorders>
              <w:top w:val="single" w:sz="4" w:space="0" w:color="FBFBFB"/>
              <w:start w:val="single" w:sz="4" w:space="0" w:color="FBFBFB"/>
              <w:bottom w:val="single" w:sz="4" w:space="0" w:color="FBFBFB"/>
              <w:end w:val="single" w:sz="4" w:space="0" w:color="FBFBFB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134" w:type="dxa"/>
            <w:tcBorders>
              <w:top w:val="single" w:sz="4" w:space="0" w:color="FBFBFB"/>
              <w:start w:val="single" w:sz="4" w:space="0" w:color="FBFBFB"/>
              <w:bottom w:val="single" w:sz="4" w:space="0" w:color="FBFBFB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379" w:type="dxa"/>
            <w:gridSpan w:val="3"/>
            <w:tcBorders>
              <w:top w:val="single" w:sz="4" w:space="0" w:color="FBFBFB"/>
              <w:start w:val="single" w:sz="4" w:space="0" w:color="FBFBFB"/>
              <w:bottom w:val="single" w:sz="4" w:space="0" w:color="FBFBFB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 ВОЗБУЖДЕНИИ ТРЕТЕЙСКОГО РАЗБИРАТЕЛЬСТВА</w:t>
            </w:r>
          </w:p>
        </w:tc>
        <w:tc>
          <w:tcPr>
            <w:tcW w:w="1125" w:type="dxa"/>
            <w:tcBorders>
              <w:top w:val="single" w:sz="4" w:space="0" w:color="FBFBFB"/>
              <w:start w:val="single" w:sz="4" w:space="0" w:color="FBFBFB"/>
              <w:bottom w:val="single" w:sz="4" w:space="0" w:color="FBFBFB"/>
              <w:end w:val="single" w:sz="4" w:space="0" w:color="FBFBFB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434"/>
        <w:gridCol w:w="2203"/>
      </w:tblGrid>
      <w:tr>
        <w:trPr/>
        <w:tc>
          <w:tcPr>
            <w:tcW w:w="743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</w:tcPr>
          <w:p>
            <w:pPr>
              <w:pStyle w:val="PreformattedText"/>
              <w:bidi w:val="0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{{CITY}}</w:t>
            </w:r>
          </w:p>
        </w:tc>
        <w:tc>
          <w:tcPr>
            <w:tcW w:w="220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PreformattedText"/>
              <w:bidi w:val="0"/>
              <w:spacing w:before="0" w:after="0"/>
              <w:jc w:val="end"/>
              <w:rPr/>
            </w:pPr>
            <w:r>
              <w:rPr>
                <w:sz w:val="24"/>
                <w:szCs w:val="24"/>
              </w:rPr>
              <w:t>{{ORDER_DATE}}</w:t>
            </w:r>
          </w:p>
        </w:tc>
      </w:tr>
    </w:tbl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ab/>
        <w:t xml:space="preserve">Постоянно действующий третейский суд Общества с ограниченной ответственностью </w:t>
      </w:r>
      <w:r>
        <w:rPr>
          <w:rFonts w:cs="Times New Roman" w:ascii="Times New Roman" w:hAnsi="Times New Roman"/>
          <w:sz w:val="28"/>
          <w:szCs w:val="28"/>
        </w:rPr>
        <w:t>«Центр прикладной психологии и детекции лжи КРИСТАЛЛ»</w:t>
      </w:r>
      <w:r>
        <w:rPr>
          <w:sz w:val="24"/>
          <w:szCs w:val="24"/>
        </w:rPr>
        <w:t xml:space="preserve"> в составе </w:t>
      </w:r>
      <w:r>
        <w:rPr>
          <w:rFonts w:cs="Times New Roman" w:ascii="Times New Roman" w:hAnsi="Times New Roman"/>
          <w:sz w:val="28"/>
          <w:szCs w:val="28"/>
        </w:rPr>
        <w:t xml:space="preserve">третейского судьи – </w:t>
      </w:r>
      <w:r>
        <w:rPr>
          <w:rFonts w:ascii="JetBrains Mono" w:hAnsi="JetBrains Mono"/>
          <w:b w:val="false"/>
          <w:i w:val="false"/>
          <w:color w:val="C77DBB"/>
          <w:sz w:val="24"/>
          <w:szCs w:val="24"/>
        </w:rPr>
        <w:t>{JUDGE_POSITION_GENT} {JUDGE_NAME_GENT}</w:t>
      </w:r>
      <w:r>
        <w:rPr>
          <w:sz w:val="24"/>
          <w:szCs w:val="24"/>
        </w:rPr>
        <w:t xml:space="preserve">, рассмотрев поступившее исковое заявление </w:t>
      </w:r>
      <w:r>
        <w:rPr>
          <w:rFonts w:ascii="JetBrains Mono" w:hAnsi="JetBrains Mono"/>
          <w:b w:val="false"/>
          <w:i w:val="false"/>
          <w:color w:val="C77DBB"/>
          <w:sz w:val="24"/>
          <w:szCs w:val="24"/>
        </w:rPr>
        <w:t xml:space="preserve">{PLAINTIFF_NAME_GENT} </w:t>
      </w:r>
      <w:r>
        <w:rPr>
          <w:sz w:val="24"/>
          <w:szCs w:val="24"/>
        </w:rPr>
        <w:t xml:space="preserve">к ответчику </w:t>
      </w:r>
      <w:r>
        <w:rPr>
          <w:rFonts w:ascii="JetBrains Mono" w:hAnsi="JetBrains Mono"/>
          <w:b w:val="false"/>
          <w:i w:val="false"/>
          <w:color w:val="C77DBB"/>
          <w:sz w:val="24"/>
          <w:szCs w:val="24"/>
        </w:rPr>
        <w:t>{DEFENDANT_NAME_DAT}</w:t>
      </w:r>
      <w:r>
        <w:rPr>
          <w:sz w:val="24"/>
          <w:szCs w:val="24"/>
        </w:rPr>
        <w:t xml:space="preserve"> о взыскании долга по договору займа,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FBFBFB"/>
              <w:start w:val="single" w:sz="4" w:space="0" w:color="FBFBFB"/>
              <w:bottom w:val="single" w:sz="4" w:space="0" w:color="FBFBFB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FBFBFB"/>
              <w:start w:val="single" w:sz="4" w:space="0" w:color="FBFBFB"/>
              <w:bottom w:val="single" w:sz="4" w:space="0" w:color="FBFBFB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  <w:t xml:space="preserve"> </w:t>
            </w:r>
            <w:r>
              <w:rPr/>
              <w:t>УСТАНОВИЛ:</w:t>
            </w:r>
          </w:p>
        </w:tc>
        <w:tc>
          <w:tcPr>
            <w:tcW w:w="3213" w:type="dxa"/>
            <w:tcBorders>
              <w:top w:val="single" w:sz="4" w:space="0" w:color="FBFBFB"/>
              <w:start w:val="single" w:sz="4" w:space="0" w:color="FBFBFB"/>
              <w:bottom w:val="single" w:sz="4" w:space="0" w:color="FBFBFB"/>
              <w:end w:val="single" w:sz="4" w:space="0" w:color="FBFBFB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ab/>
        <w:t xml:space="preserve">В постоянно действующий третейский суд Общества с ограниченной ответственностью </w:t>
      </w:r>
      <w:r>
        <w:rPr>
          <w:rFonts w:cs="Times New Roman" w:ascii="Times New Roman" w:hAnsi="Times New Roman"/>
          <w:sz w:val="28"/>
          <w:szCs w:val="28"/>
        </w:rPr>
        <w:t>«Центр прикладной психологии и детекции лжи КРИСТАЛЛ»</w:t>
      </w:r>
      <w:r>
        <w:rPr>
          <w:sz w:val="24"/>
          <w:szCs w:val="24"/>
        </w:rPr>
        <w:t xml:space="preserve"> обратился </w:t>
      </w:r>
      <w:r>
        <w:rPr>
          <w:rFonts w:ascii="JetBrains Mono" w:hAnsi="JetBrains Mono"/>
          <w:b w:val="false"/>
          <w:i w:val="false"/>
          <w:color w:val="C77DBB"/>
          <w:sz w:val="24"/>
          <w:szCs w:val="24"/>
        </w:rPr>
        <w:t>{PLAINTIFF_NAME}</w:t>
      </w:r>
      <w:r>
        <w:rPr>
          <w:sz w:val="24"/>
          <w:szCs w:val="24"/>
        </w:rPr>
        <w:t xml:space="preserve"> с исковым заявлением к </w:t>
      </w:r>
      <w:r>
        <w:rPr>
          <w:rFonts w:ascii="JetBrains Mono" w:hAnsi="JetBrains Mono"/>
          <w:b w:val="false"/>
          <w:i w:val="false"/>
          <w:color w:val="C77DBB"/>
          <w:sz w:val="24"/>
          <w:szCs w:val="24"/>
        </w:rPr>
        <w:t>{DEFENDANT_NAME_DAT}</w:t>
      </w:r>
      <w:r>
        <w:rPr>
          <w:sz w:val="24"/>
          <w:szCs w:val="24"/>
        </w:rPr>
        <w:t xml:space="preserve"> (ответчику) о взыскании {{TOTAL_SUM}} бел. руб., из которых {{LOAN_PRINCIPAL}} бел. руб. основного долга; {{INTEREST_SUM}} бел. руб. процентов за пользование займом за период с {{INTEREST_FROM}} по {{INTEREST_TO}}; {{PENALTY_SUM}} бел. руб. неустойки (пени) за период с {{PENALTY_FROM}} по </w:t>
      </w:r>
      <w:bookmarkStart w:id="0" w:name="docs-internal-guid-985c7b91-7fff-d160-e1"/>
      <w:bookmarkEnd w:id="0"/>
      <w:r>
        <w:rPr>
          <w:sz w:val="24"/>
          <w:szCs w:val="24"/>
        </w:rPr>
        <w:t>{{PENALTY_TO}}, в связи с ненадлежащим выполнением ответчиком обязательств по договору займа № {{LOAN_NO}} от {{LOAN_DATE}}.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ab/>
        <w:t xml:space="preserve">В соответствии с п. 7.2. договора займа № {{LOAN_NO}} от {{LOAN_DATE}}, все споры по настоящему договору подлежат рассмотрению в третейском суде Общества с ограниченной ответственностью «Центр прикладной психологии и детекции лжи КРИСТАЛЛ». </w:t>
      </w:r>
      <w:r>
        <w:rPr>
          <w:rFonts w:cs="Times New Roman" w:ascii="Times New Roman" w:hAnsi="Times New Roman"/>
          <w:sz w:val="28"/>
          <w:szCs w:val="28"/>
        </w:rPr>
        <w:t>Разрешение споров осуществляется третейским судом в составе одного судьи (единолично) председателем третейского суда или третейским судьей, назначенным председателем третейского суда из состава третейского суда.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Таким образом, между сторонами заключено третейское соглашение в виде третейской оговорки – отдельного положения, содержащегося в договоре займа № {{LOAN_NO}} от {{LOAN_DATE}}, в связи с чем у третейского суда Общества с ограниченной ответственностью «Центр прикладной психологии и детекции лжи КРИСТАЛЛ» имеется компетенция на разрешение данного спора.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Исковое заявление и приложенные к нему документы соответствуют требованиям, установленным Регламентом постоянно действующего третейского суда Общества с ограниченной ответственностью «Центр прикладной психологии и детекции лжи КРИСТАЛЛ».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ab/>
        <w:t xml:space="preserve">Руководствуясь пунктами 26, 30, 33, 35, 37 Регламента постоянно действующего третейского суда Общества с ограниченной ответственностью </w:t>
      </w:r>
      <w:r>
        <w:rPr>
          <w:rFonts w:cs="Times New Roman" w:ascii="Times New Roman" w:hAnsi="Times New Roman"/>
          <w:sz w:val="28"/>
          <w:szCs w:val="28"/>
        </w:rPr>
        <w:t>«Центр прикладной психологии и детекции лжи КРИСТАЛЛ»,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rHeight w:val="450" w:hRule="atLeast"/>
        </w:trPr>
        <w:tc>
          <w:tcPr>
            <w:tcW w:w="3212" w:type="dxa"/>
            <w:tcBorders>
              <w:top w:val="single" w:sz="4" w:space="0" w:color="FBFBFB"/>
              <w:start w:val="single" w:sz="4" w:space="0" w:color="FBFBFB"/>
              <w:bottom w:val="single" w:sz="4" w:space="0" w:color="FBFBFB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FBFBFB"/>
              <w:start w:val="single" w:sz="4" w:space="0" w:color="FBFBFB"/>
              <w:bottom w:val="single" w:sz="4" w:space="0" w:color="FBFBFB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/>
              <w:t xml:space="preserve"> </w:t>
            </w:r>
            <w:r>
              <w:rPr/>
              <w:t>ОПРЕДЕЛИЛ:</w:t>
            </w:r>
          </w:p>
        </w:tc>
        <w:tc>
          <w:tcPr>
            <w:tcW w:w="3213" w:type="dxa"/>
            <w:tcBorders>
              <w:top w:val="single" w:sz="4" w:space="0" w:color="FBFBFB"/>
              <w:start w:val="single" w:sz="4" w:space="0" w:color="FBFBFB"/>
              <w:bottom w:val="single" w:sz="4" w:space="0" w:color="FBFBFB"/>
              <w:end w:val="single" w:sz="4" w:space="0" w:color="FBFBFB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1. Принять исковое заявление и возбудить третейское разбирательство. Третейское разбирательство состоится {{HEARING_DATE}} в {{HEARING_TIME}} в помещении постоянно действующего третейского суда Общества с ограниченной ответственностью «Центр прикладной психологии и детекции лжи КРИСТАЛЛ», ({{VENUE_ADDRESS}}).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2. Направить ответчику копию искового заявления (с расчетом основного долга, процентов за пользование займом, неустойки (пени), оформленного в виде отдельного приложения к исковому заявлению).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3. Направить сторонам определение о возбуждении третейского разбирательства.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ab/>
        <w:t xml:space="preserve">4. К дате третейского разбирательства, но не позднее {{DOCS_DUE_DATE}}г., предложить ответчику представить в </w:t>
      </w:r>
      <w:r>
        <w:rPr>
          <w:rFonts w:cs="Times New Roman" w:ascii="Times New Roman" w:hAnsi="Times New Roman"/>
          <w:sz w:val="28"/>
          <w:szCs w:val="28"/>
        </w:rPr>
        <w:t>адрес третейского суда и истца</w:t>
      </w:r>
      <w:r>
        <w:rPr>
          <w:sz w:val="24"/>
          <w:szCs w:val="24"/>
        </w:rPr>
        <w:t xml:space="preserve"> письменный мотивированный отзыв на исковое заявление, с приложением подтверждающих документов в обоснование возражений против заявленных исковых требований. В случае несогласия с расчетом исковых требований, ответчику необходимо предоставить третейскому суду и истцу контр-расчет. В случае, если к дате третейского разбирательства ответчиком будут произведены платежи в счет погашения исковых   требований, стороны должны уведомить третейский суд о произведенных ответчиком платежах.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ab/>
        <w:t xml:space="preserve">5. Вся корреспонденция третейского суда (в том числе определения, решения, извещения и другие процессуальные документы) в соответствии с третейской оговоркой (п.7.3. договора займа № {{LOAN_NO}} от {{LOAN_DATE}}) направляются третейским судом по </w:t>
      </w:r>
      <w:r>
        <w:rPr>
          <w:rFonts w:cs="Times New Roman" w:ascii="Times New Roman" w:hAnsi="Times New Roman"/>
          <w:sz w:val="28"/>
          <w:szCs w:val="28"/>
        </w:rPr>
        <w:t>адресам электронной почты сторон</w:t>
      </w:r>
      <w:r>
        <w:rPr>
          <w:sz w:val="24"/>
          <w:szCs w:val="24"/>
        </w:rPr>
        <w:t>, указанным в договоре займа № {{LOAN_NO}} от {{LOAN_DATE}}.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ab/>
        <w:t xml:space="preserve">6. Отзыв на исковое заявление, иные документы в соответствии с третейской оговоркой (п.7.3. договора займа № {{LOAN_NO}} от {{LOAN_DATE}}) направляются в третейский суд по </w:t>
      </w:r>
      <w:r>
        <w:rPr>
          <w:rFonts w:cs="Times New Roman" w:ascii="Times New Roman" w:hAnsi="Times New Roman"/>
          <w:sz w:val="28"/>
          <w:szCs w:val="28"/>
        </w:rPr>
        <w:t>адресу электронной почты</w:t>
      </w:r>
      <w:r>
        <w:rPr>
          <w:sz w:val="24"/>
          <w:szCs w:val="24"/>
        </w:rPr>
        <w:t xml:space="preserve"> {{COURT_EMAIL}}.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10050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63"/>
        <w:gridCol w:w="2793"/>
        <w:gridCol w:w="2794"/>
      </w:tblGrid>
      <w:tr>
        <w:trPr/>
        <w:tc>
          <w:tcPr>
            <w:tcW w:w="446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</w:tcPr>
          <w:p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i w:val="false"/>
                <w:color w:val="C77DBB"/>
                <w:sz w:val="28"/>
                <w:szCs w:val="28"/>
              </w:rPr>
              <w:t xml:space="preserve">Третейский судья  </w:t>
            </w:r>
            <w:r>
              <w:rPr>
                <w:rFonts w:cs="Times New Roman" w:ascii="JetBrains Mono" w:hAnsi="JetBrains Mono"/>
                <w:b w:val="false"/>
                <w:i w:val="false"/>
                <w:color w:val="C77DBB"/>
                <w:sz w:val="24"/>
                <w:szCs w:val="24"/>
              </w:rPr>
              <w:t>JUDGE_POSITION_WITH_DASH</w:t>
            </w:r>
          </w:p>
        </w:tc>
        <w:tc>
          <w:tcPr>
            <w:tcW w:w="279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794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PreformattedText"/>
              <w:bidi w:val="0"/>
              <w:spacing w:before="0" w:after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{{JUDGE_INITIALS}}</w:t>
            </w:r>
          </w:p>
        </w:tc>
      </w:tr>
    </w:tbl>
    <w:p>
      <w:pPr>
        <w:pStyle w:val="Normal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</w:t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JetBrains Mono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nsPlusNormal">
    <w:name w:val="ConsPlusNormal"/>
    <w:qFormat/>
    <w:pPr>
      <w:widowControl w:val="false"/>
      <w:suppressAutoHyphens w:val="true"/>
      <w:bidi w:val="0"/>
      <w:spacing w:lineRule="auto" w:line="240" w:before="0" w:after="0"/>
      <w:jc w:val="start"/>
    </w:pPr>
    <w:rPr>
      <w:rFonts w:ascii="Arial" w:hAnsi="Arial" w:eastAsia="DejaVu Sans" w:cs="Arial" w:eastAsiaTheme="minorEastAsia"/>
      <w:color w:val="auto"/>
      <w:kern w:val="0"/>
      <w:sz w:val="20"/>
      <w:szCs w:val="20"/>
      <w:lang w:val="en-US" w:eastAsia="ru-RU" w:bidi="hi-IN"/>
      <w14:ligatures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618</TotalTime>
  <Application>LibreOffice/24.2.7.2$Linux_X86_64 LibreOffice_project/420$Build-2</Application>
  <AppVersion>15.0000</AppVersion>
  <Pages>2</Pages>
  <Words>487</Words>
  <Characters>3655</Characters>
  <CharactersWithSpaces>4203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2026-02-11T14:12:22Z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