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asro-v1.0-release-candidate"/>
    <w:p>
      <w:pPr>
        <w:pStyle w:val="Heading1"/>
      </w:pPr>
      <w:r>
        <w:t xml:space="preserve">ASRO v1.0 Release Candidate</w:t>
      </w:r>
    </w:p>
    <w:bookmarkStart w:id="21" w:name="Xf3ef199c1a02659848d6e7d6dbd6ba07ef36220"/>
    <w:p>
      <w:pPr>
        <w:pStyle w:val="Heading2"/>
      </w:pPr>
      <w:r>
        <w:t xml:space="preserve">Attestation and System Reliability Operator — AI Governance Evidence Framework</w:t>
      </w:r>
    </w:p>
    <w:p>
      <w:pPr>
        <w:pStyle w:val="FirstParagraph"/>
      </w:pPr>
      <w:r>
        <w:rPr>
          <w:bCs/>
          <w:b/>
        </w:rPr>
        <w:t xml:space="preserve">Contact:</w:t>
      </w:r>
      <w:r>
        <w:t xml:space="preserve"> </w:t>
      </w:r>
      <w:r>
        <w:t xml:space="preserve">james@michigrid.org</w:t>
      </w:r>
      <w:r>
        <w:t xml:space="preserve"> </w:t>
      </w:r>
      <w:r>
        <w:rPr>
          <w:bCs/>
          <w:b/>
        </w:rPr>
        <w:t xml:space="preserve">Repository:</w:t>
      </w:r>
      <w:r>
        <w:t xml:space="preserve"> </w:t>
      </w:r>
      <w:hyperlink r:id="rId20">
        <w:r>
          <w:rPr>
            <w:rStyle w:val="Hyperlink"/>
          </w:rPr>
          <w:t xml:space="preserve">https://github.com/magicianzcardstockllc/asro</w:t>
        </w:r>
      </w:hyperlink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ASRO does not trust operators to report their own compliance — it makes compliance verifiable by the parties who depend on it.</w:t>
      </w:r>
    </w:p>
    <w:p>
      <w:pPr>
        <w:pStyle w:val="BlockText"/>
      </w:pPr>
      <w:r>
        <w:rPr>
          <w:bCs/>
          <w:b/>
        </w:rPr>
        <w:t xml:space="preserve">Internal measurement is not independent oversight. Trust arises only when host measurement, edge witnessing, and ASRO reconciliation remain consistent over time.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ASRO is a cryptographic attestation framework for verifying AI deployment-state continuity. It makes governance claims independently checkable without requiring access to conversation content, model internals, or user data.</w:t>
      </w:r>
    </w:p>
    <w:p>
      <w:pPr>
        <w:pStyle w:val="BodyText"/>
      </w:pPr>
      <w:r>
        <w:rPr>
          <w:iCs/>
          <w:i/>
        </w:rPr>
        <w:t xml:space="preserve">ASRO was developed by James Aull, founder of Michigrid, a cooperative energy infrastructure platform in formation under Michigan law, through the same multi-system AI coordination process that produced the framework itself.</w:t>
      </w:r>
    </w:p>
    <w:p>
      <w:r>
        <w:pict>
          <v:rect style="width:0;height:1.5pt" o:hralign="center" o:hrstd="t" o:hr="t"/>
        </w:pict>
      </w:r>
    </w:p>
    <w:bookmarkEnd w:id="21"/>
    <w:bookmarkStart w:id="22" w:name="why-asro-exists"/>
    <w:p>
      <w:pPr>
        <w:pStyle w:val="Heading2"/>
      </w:pPr>
      <w:r>
        <w:t xml:space="preserve">Why ASRO Exists</w:t>
      </w:r>
    </w:p>
    <w:p>
      <w:pPr>
        <w:pStyle w:val="FirstParagraph"/>
      </w:pPr>
      <w:r>
        <w:t xml:space="preserve">Modern AI systems are non-deterministic and continuously updated. Retroactive auditing through replay is not viable: the same prompt at a different time or system state will not produce the same output. The only defensible verification point is the moment of change.</w:t>
      </w:r>
    </w:p>
    <w:p>
      <w:pPr>
        <w:pStyle w:val="BodyText"/>
      </w:pPr>
      <w:r>
        <w:t xml:space="preserve">This framework originated from a direct operational observation. As the operator of a community-facing AI chatbot, the author had full backend access — the ability to read logged conversations, identify patterns, and alter system behavior in ways users had no mechanism to detect. This is not a theoretical vulnerability. It is a structural feature of how AI systems are architected at every scale. The mechanism does not change with scale. Only the impact does.</w:t>
      </w:r>
    </w:p>
    <w:p>
      <w:pPr>
        <w:pStyle w:val="BodyText"/>
      </w:pPr>
      <w:r>
        <w:t xml:space="preserve">ASRO provides the maximum verifiability technically achievable in this environment: cryptographic proof that a qualifying change was classified, signed, chained, and recorded when it occurred.</w:t>
      </w:r>
    </w:p>
    <w:p>
      <w:r>
        <w:pict>
          <v:rect style="width:0;height:1.5pt" o:hralign="center" o:hrstd="t" o:hr="t"/>
        </w:pict>
      </w:r>
    </w:p>
    <w:bookmarkEnd w:id="22"/>
    <w:bookmarkStart w:id="23" w:name="what-asro-is"/>
    <w:p>
      <w:pPr>
        <w:pStyle w:val="Heading2"/>
      </w:pPr>
      <w:r>
        <w:t xml:space="preserve">What ASRO Is</w:t>
      </w:r>
    </w:p>
    <w:p>
      <w:pPr>
        <w:pStyle w:val="FirstParagraph"/>
      </w:pPr>
      <w:r>
        <w:t xml:space="preserve">ASRO is a framework for cryptographically attesting to AI deployment-state continuity without inspecting private conversations, model internals, or raw user data.</w:t>
      </w:r>
    </w:p>
    <w:p>
      <w:pPr>
        <w:pStyle w:val="BodyText"/>
      </w:pPr>
      <w:r>
        <w:t xml:space="preserve">It addresses a structural gap that behavioral monitoring cannot reach: AI systems can be silently modified after deployment — policies changed, tool permissions expanded, runtime configurations altered — without any user knowledge and without any external record of the change. ASRO makes those changes independently checkable by the parties who depend on the system’s governance claims.</w:t>
      </w:r>
    </w:p>
    <w:p>
      <w:pPr>
        <w:pStyle w:val="BodyText"/>
      </w:pPr>
      <w:r>
        <w:t xml:space="preserve">ASRO answers four questions:</w:t>
      </w:r>
    </w:p>
    <w:p>
      <w:pPr>
        <w:numPr>
          <w:ilvl w:val="0"/>
          <w:numId w:val="1001"/>
        </w:numPr>
        <w:pStyle w:val="Compact"/>
      </w:pPr>
      <w:r>
        <w:t xml:space="preserve">Did the declared policy remain in force?</w:t>
      </w:r>
    </w:p>
    <w:p>
      <w:pPr>
        <w:numPr>
          <w:ilvl w:val="0"/>
          <w:numId w:val="1001"/>
        </w:numPr>
        <w:pStyle w:val="Compact"/>
      </w:pPr>
      <w:r>
        <w:t xml:space="preserve">Did tool permissions drift without declaration?</w:t>
      </w:r>
    </w:p>
    <w:p>
      <w:pPr>
        <w:numPr>
          <w:ilvl w:val="0"/>
          <w:numId w:val="1001"/>
        </w:numPr>
        <w:pStyle w:val="Compact"/>
      </w:pPr>
      <w:r>
        <w:t xml:space="preserve">Did runtime state change without a signed attestation event?</w:t>
      </w:r>
    </w:p>
    <w:p>
      <w:pPr>
        <w:numPr>
          <w:ilvl w:val="0"/>
          <w:numId w:val="1001"/>
        </w:numPr>
        <w:pStyle w:val="Compact"/>
      </w:pPr>
      <w:r>
        <w:t xml:space="preserve">Did the host’s claimed governance state match what edge observers actually received?</w:t>
      </w:r>
    </w:p>
    <w:p>
      <w:r>
        <w:pict>
          <v:rect style="width:0;height:1.5pt" o:hralign="center" o:hrstd="t" o:hr="t"/>
        </w:pict>
      </w:r>
    </w:p>
    <w:bookmarkEnd w:id="23"/>
    <w:bookmarkStart w:id="24" w:name="what-asro-is-not"/>
    <w:p>
      <w:pPr>
        <w:pStyle w:val="Heading2"/>
      </w:pPr>
      <w:r>
        <w:t xml:space="preserve">What ASRO Is Not</w:t>
      </w:r>
    </w:p>
    <w:p>
      <w:pPr>
        <w:pStyle w:val="FirstParagraph"/>
      </w:pPr>
      <w:r>
        <w:t xml:space="preserve">ASRO is</w:t>
      </w:r>
      <w:r>
        <w:t xml:space="preserve"> </w:t>
      </w:r>
      <w:r>
        <w:rPr>
          <w:bCs/>
          <w:b/>
        </w:rPr>
        <w:t xml:space="preserve">not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A safety certification system</w:t>
      </w:r>
    </w:p>
    <w:p>
      <w:pPr>
        <w:numPr>
          <w:ilvl w:val="0"/>
          <w:numId w:val="1002"/>
        </w:numPr>
        <w:pStyle w:val="Compact"/>
      </w:pPr>
      <w:r>
        <w:t xml:space="preserve">A legal compliance guarantor</w:t>
      </w:r>
    </w:p>
    <w:p>
      <w:pPr>
        <w:numPr>
          <w:ilvl w:val="0"/>
          <w:numId w:val="1002"/>
        </w:numPr>
        <w:pStyle w:val="Compact"/>
      </w:pPr>
      <w:r>
        <w:t xml:space="preserve">A regulator, court, or enforcement authority</w:t>
      </w:r>
    </w:p>
    <w:p>
      <w:pPr>
        <w:numPr>
          <w:ilvl w:val="0"/>
          <w:numId w:val="1002"/>
        </w:numPr>
        <w:pStyle w:val="Compact"/>
      </w:pPr>
      <w:r>
        <w:t xml:space="preserve">A promise that the AI will never hallucinate or behave badly</w:t>
      </w:r>
    </w:p>
    <w:p>
      <w:pPr>
        <w:numPr>
          <w:ilvl w:val="0"/>
          <w:numId w:val="1002"/>
        </w:numPr>
        <w:pStyle w:val="Compact"/>
      </w:pPr>
      <w:r>
        <w:t xml:space="preserve">A replacement for legal counsel or sectoral regulation</w:t>
      </w:r>
    </w:p>
    <w:p>
      <w:pPr>
        <w:pStyle w:val="FirstParagraph"/>
      </w:pPr>
      <w:r>
        <w:rPr>
          <w:bCs/>
          <w:b/>
        </w:rPr>
        <w:t xml:space="preserve">ASRO is an evidence framework.</w:t>
      </w:r>
      <w:r>
        <w:t xml:space="preserve"> </w:t>
      </w:r>
      <w:r>
        <w:t xml:space="preserve">It provides the technical record from which auditors, regulators, counsel, and partners can make their own determinations. It does not make those determinations itself.</w:t>
      </w:r>
    </w:p>
    <w:p>
      <w:r>
        <w:pict>
          <v:rect style="width:0;height:1.5pt" o:hralign="center" o:hrstd="t" o:hr="t"/>
        </w:pict>
      </w:r>
    </w:p>
    <w:bookmarkEnd w:id="24"/>
    <w:bookmarkStart w:id="25" w:name="the-adversarial-model"/>
    <w:p>
      <w:pPr>
        <w:pStyle w:val="Heading2"/>
      </w:pPr>
      <w:r>
        <w:t xml:space="preserve">The Adversarial Model</w:t>
      </w:r>
    </w:p>
    <w:p>
      <w:pPr>
        <w:pStyle w:val="BlockText"/>
      </w:pPr>
      <w:r>
        <w:rPr>
          <w:bCs/>
          <w:b/>
        </w:rPr>
        <w:t xml:space="preserve">The primary adversary in ASRO is not a system that refuses to attest, but a system that attests selectively enough to preserve plausible compliance while hiding governance-relevant change.</w:t>
      </w:r>
    </w:p>
    <w:p>
      <w:r>
        <w:pict>
          <v:rect style="width:0;height:1.5pt" o:hralign="center" o:hrstd="t" o:hr="t"/>
        </w:pict>
      </w:r>
    </w:p>
    <w:bookmarkEnd w:id="25"/>
    <w:bookmarkStart w:id="26" w:name="certification-status"/>
    <w:p>
      <w:pPr>
        <w:pStyle w:val="Heading2"/>
      </w:pPr>
      <w:r>
        <w:t xml:space="preserve">Certification Status</w:t>
      </w:r>
    </w:p>
    <w:p>
      <w:pPr>
        <w:pStyle w:val="BlockText"/>
      </w:pPr>
      <w:r>
        <w:rPr>
          <w:bCs/>
          <w:b/>
        </w:rPr>
        <w:t xml:space="preserve">ASRO v1.0 passes final credibility review as an attestation-and-governance evidence framework, not as a safety certification system, legal compliance guarantor, or enforcement authority.</w:t>
      </w:r>
    </w:p>
    <w:p>
      <w:pPr>
        <w:pStyle w:val="FirstParagraph"/>
      </w:pPr>
      <w:r>
        <w:rPr>
          <w:iCs/>
          <w:i/>
        </w:rPr>
        <w:t xml:space="preserve">Final Credibility Pass Report: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/governance/Credibility_Pass_Report_v1.0.md</w:t>
      </w:r>
    </w:p>
    <w:p>
      <w:r>
        <w:pict>
          <v:rect style="width:0;height:1.5pt" o:hralign="center" o:hrstd="t" o:hr="t"/>
        </w:pict>
      </w:r>
    </w:p>
    <w:bookmarkEnd w:id="26"/>
    <w:bookmarkStart w:id="27" w:name="how-to-navigate"/>
    <w:p>
      <w:pPr>
        <w:pStyle w:val="Heading2"/>
      </w:pPr>
      <w:r>
        <w:t xml:space="preserve">How to Navigate</w:t>
      </w:r>
    </w:p>
    <w:p>
      <w:pPr>
        <w:pStyle w:val="FirstParagraph"/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/spec/MAS_v1.1_Unified.md</w:t>
      </w:r>
      <w:r>
        <w:t xml:space="preserve"> </w:t>
      </w:r>
      <w:r>
        <w:t xml:space="preserve">— the normative technical core. Everything else is derived from or cross-references the MAS.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/schemas/</w:t>
      </w:r>
      <w:r>
        <w:t xml:space="preserve"> </w:t>
      </w:r>
      <w:r>
        <w:t xml:space="preserve">directory contains the machine-enforceable policy layer, including the discrepancy taxonomy and continuity protocol.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/governance/</w:t>
      </w:r>
      <w:r>
        <w:t xml:space="preserve"> </w:t>
      </w:r>
      <w:r>
        <w:t xml:space="preserve">directory defines response procedures, escalation rules, and reviewer authority.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/docs/</w:t>
      </w:r>
      <w:r>
        <w:t xml:space="preserve"> </w:t>
      </w:r>
      <w:r>
        <w:t xml:space="preserve">directory contains implementation guidance, public interface specifications, comparative production profiles, protocol specifications, and live protocol application records.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/compliance/</w:t>
      </w:r>
      <w:r>
        <w:t xml:space="preserve"> </w:t>
      </w:r>
      <w:r>
        <w:t xml:space="preserve">directory contains the operator self-audit checklist.</w:t>
      </w:r>
    </w:p>
    <w:p>
      <w:r>
        <w:pict>
          <v:rect style="width:0;height:1.5pt" o:hralign="center" o:hrstd="t" o:hr="t"/>
        </w:pict>
      </w:r>
    </w:p>
    <w:bookmarkEnd w:id="27"/>
    <w:bookmarkStart w:id="30" w:name="recent-case-study-and-method-evolution"/>
    <w:p>
      <w:pPr>
        <w:pStyle w:val="Heading2"/>
      </w:pPr>
      <w:r>
        <w:t xml:space="preserve">Recent Case Study and Method Evolution</w:t>
      </w:r>
    </w:p>
    <w:p>
      <w:pPr>
        <w:pStyle w:val="FirstParagraph"/>
      </w:pPr>
      <w:r>
        <w:t xml:space="preserve">The ASRO case-study stack now extends beyond the original release-candidate series into comparative production profiling and formal adversarial method development.</w:t>
      </w:r>
    </w:p>
    <w:bookmarkStart w:id="28" w:name="newest-additions"/>
    <w:p>
      <w:pPr>
        <w:pStyle w:val="Heading3"/>
      </w:pPr>
      <w:r>
        <w:t xml:space="preserve">Newest additions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/docs/case-studies/ASRO_Case_Study_CS011_Production_Epistemic_Profiles_v1.0.md</w:t>
      </w:r>
      <w:r>
        <w:t xml:space="preserve"> </w:t>
      </w:r>
      <w:r>
        <w:t xml:space="preserve">Comparative production profile covering Rufus, Perplexity, and PolyBuzz under live production conditions. This document bridges the earlier case-study series and the newer protocol layer.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/docs/case-studies/ASRO_Case_Study_CS012_Epistemic_Challenge_Protocol_v1.0.md</w:t>
      </w:r>
      <w:r>
        <w:t xml:space="preserve"> </w:t>
      </w:r>
      <w:r>
        <w:t xml:space="preserve">The Epistemic Challenge Protocol (ECP) v1.0. This is a protocol specification, not a case record. It formalizes four pressure tracks: authority injection, instruction conflict, epistemic override, and constraint bypass.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/docs/case-studies/ASRO_Case_Study_CS012A_Perplexity_Live_Application_v1.0.md</w:t>
      </w:r>
      <w:r>
        <w:t xml:space="preserve"> </w:t>
      </w:r>
      <w:r>
        <w:t xml:space="preserve">First live application of CS-012 against a real production artifact. Documents branch-based testing on a Perplexity story surface with visible interface authority signals.</w:t>
      </w:r>
    </w:p>
    <w:bookmarkEnd w:id="28"/>
    <w:bookmarkStart w:id="29" w:name="how-these-fit-together"/>
    <w:p>
      <w:pPr>
        <w:pStyle w:val="Heading3"/>
      </w:pPr>
      <w:r>
        <w:t xml:space="preserve">How these fit together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CS-007</w:t>
      </w:r>
      <w:r>
        <w:t xml:space="preserve"> </w:t>
      </w:r>
      <w:r>
        <w:t xml:space="preserve">— live repository retrieval integrity study; framework substitution in the wild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CS-008</w:t>
      </w:r>
      <w:r>
        <w:t xml:space="preserve"> </w:t>
      </w:r>
      <w:r>
        <w:t xml:space="preserve">— correctness does not imply attestation completeness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CS-009</w:t>
      </w:r>
      <w:r>
        <w:t xml:space="preserve"> </w:t>
      </w:r>
      <w:r>
        <w:t xml:space="preserve">— field activation series in undesigned operational contexts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CS-010</w:t>
      </w:r>
      <w:r>
        <w:t xml:space="preserve"> </w:t>
      </w:r>
      <w:r>
        <w:t xml:space="preserve">— external behavioral correction through attestation pressure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CS-011</w:t>
      </w:r>
      <w:r>
        <w:t xml:space="preserve"> </w:t>
      </w:r>
      <w:r>
        <w:t xml:space="preserve">— comparative production epistemic profiles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CS-012</w:t>
      </w:r>
      <w:r>
        <w:t xml:space="preserve"> </w:t>
      </w:r>
      <w:r>
        <w:t xml:space="preserve">— formal adversarial test method (protocol specification)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CS-012A</w:t>
      </w:r>
      <w:r>
        <w:t xml:space="preserve"> </w:t>
      </w:r>
      <w:r>
        <w:t xml:space="preserve">— first live production application of that method</w:t>
      </w:r>
    </w:p>
    <w:p>
      <w:pPr>
        <w:pStyle w:val="FirstParagraph"/>
      </w:pPr>
      <w:r>
        <w:t xml:space="preserve">The ASRO series moves from case-study diagnosis, to production profiling, to repeatable adversarial protocol, to live protocol application.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asro-v1.0-layered-architecture"/>
    <w:p>
      <w:pPr>
        <w:pStyle w:val="Heading2"/>
      </w:pPr>
      <w:r>
        <w:t xml:space="preserve">ASRO v1.0 — Layered Architecture</w:t>
      </w:r>
    </w:p>
    <w:p>
      <w:pPr>
        <w:pStyle w:val="FirstParagraph"/>
      </w:pPr>
      <w:r>
        <w:t xml:space="preserve">ASRO is composed of five integrated layers:</w:t>
      </w:r>
    </w:p>
    <w:p>
      <w:pPr>
        <w:pStyle w:val="BodyText"/>
      </w:pPr>
      <w:r>
        <w:rPr>
          <w:bCs/>
          <w:b/>
        </w:rPr>
        <w:t xml:space="preserve">1. Specification Layer</w:t>
      </w:r>
      <w:r>
        <w:t xml:space="preserve"> </w:t>
      </w:r>
      <w:r>
        <w:t xml:space="preserve">Defines the attestation bundle format, telemetry rules, and the Host/Edge/ASRO verification model. Normative authority for all other layers.</w:t>
      </w:r>
    </w:p>
    <w:p>
      <w:pPr>
        <w:pStyle w:val="BodyText"/>
      </w:pPr>
      <w:r>
        <w:rPr>
          <w:bCs/>
          <w:b/>
        </w:rPr>
        <w:t xml:space="preserve">2. Schema Layer</w:t>
      </w:r>
      <w:r>
        <w:t xml:space="preserve"> </w:t>
      </w:r>
      <w:r>
        <w:t xml:space="preserve">Machine-enforceable controlled vocabularies, discrepancy taxonomy (S0–S4), and continuity protocol. The ground truth for automated verification.</w:t>
      </w:r>
    </w:p>
    <w:p>
      <w:pPr>
        <w:pStyle w:val="BodyText"/>
      </w:pPr>
      <w:r>
        <w:rPr>
          <w:bCs/>
          <w:b/>
        </w:rPr>
        <w:t xml:space="preserve">3. Governance Layer</w:t>
      </w:r>
      <w:r>
        <w:t xml:space="preserve"> </w:t>
      </w:r>
      <w:r>
        <w:t xml:space="preserve">Response procedures, escalation rules, reviewer authority, and the threat classification framework ranked by governance significance.</w:t>
      </w:r>
    </w:p>
    <w:p>
      <w:pPr>
        <w:pStyle w:val="BodyText"/>
      </w:pPr>
      <w:r>
        <w:rPr>
          <w:bCs/>
          <w:b/>
        </w:rPr>
        <w:t xml:space="preserve">4. Threat and Validation Layer</w:t>
      </w:r>
      <w:r>
        <w:t xml:space="preserve"> </w:t>
      </w:r>
      <w:r>
        <w:t xml:space="preserve">Adversarial model, named attack patterns (Shadow Tool, Midnight Swap, Drip Feed, Metadata Strip), and the final credibility certification.</w:t>
      </w:r>
    </w:p>
    <w:p>
      <w:pPr>
        <w:pStyle w:val="BodyText"/>
      </w:pPr>
      <w:r>
        <w:rPr>
          <w:bCs/>
          <w:b/>
        </w:rPr>
        <w:t xml:space="preserve">5. Public Interface Layer</w:t>
      </w:r>
      <w:r>
        <w:t xml:space="preserve"> </w:t>
      </w:r>
      <w:r>
        <w:t xml:space="preserve">Trust Badge specification and machine-verifiable status signaling via signed Trust Status Records.</w:t>
      </w:r>
    </w:p>
    <w:p>
      <w:r>
        <w:pict>
          <v:rect style="width:0;height:1.5pt" o:hralign="center" o:hrstd="t" o:hr="t"/>
        </w:pict>
      </w:r>
    </w:p>
    <w:bookmarkEnd w:id="31"/>
    <w:bookmarkStart w:id="32" w:name="for-users-privacy-and-verification"/>
    <w:p>
      <w:pPr>
        <w:pStyle w:val="Heading2"/>
      </w:pPr>
      <w:r>
        <w:t xml:space="preserve">For Users — Privacy and Verification</w:t>
      </w:r>
    </w:p>
    <w:p>
      <w:pPr>
        <w:pStyle w:val="FirstParagraph"/>
      </w:pPr>
      <w:r>
        <w:t xml:space="preserve">Deploy an</w:t>
      </w:r>
      <w:r>
        <w:t xml:space="preserve"> </w:t>
      </w:r>
      <w:r>
        <w:rPr>
          <w:bCs/>
          <w:b/>
        </w:rPr>
        <w:t xml:space="preserve">Edge Meter Agent</w:t>
      </w:r>
      <w:r>
        <w:t xml:space="preserve"> </w:t>
      </w:r>
      <w:r>
        <w:t xml:space="preserve">to independently witness whether the AI system’s declared governance state matches what your device actually receives.</w:t>
      </w:r>
    </w:p>
    <w:p>
      <w:pPr>
        <w:pStyle w:val="BodyText"/>
      </w:pPr>
      <w:r>
        <w:t xml:space="preserve">An Edge Meter Agent records:</w:t>
      </w:r>
      <w:r>
        <w:t xml:space="preserve"> </w:t>
      </w:r>
      <w:r>
        <w:t xml:space="preserve">- The system’s declared configuration and policy fingerprints</w:t>
      </w:r>
      <w:r>
        <w:t xml:space="preserve"> </w:t>
      </w:r>
      <w:r>
        <w:t xml:space="preserve">- Whether those fingerprints remained consistent across sessions</w:t>
      </w:r>
      <w:r>
        <w:t xml:space="preserve"> </w:t>
      </w:r>
      <w:r>
        <w:t xml:space="preserve">- Whether observable behavior matched declared permissions</w:t>
      </w:r>
      <w:r>
        <w:t xml:space="preserve"> </w:t>
      </w:r>
      <w:r>
        <w:t xml:space="preserve">- Discrepancies between host claims and edge-observed state</w:t>
      </w:r>
    </w:p>
    <w:p>
      <w:pPr>
        <w:pStyle w:val="BodyText"/>
      </w:pPr>
      <w:r>
        <w:t xml:space="preserve">You can independently check whether the operator’s attestation record remains consistent with what your device observed.</w:t>
      </w:r>
    </w:p>
    <w:p>
      <w:pPr>
        <w:pStyle w:val="BodyText"/>
      </w:pPr>
      <w:r>
        <w:rPr>
          <w:iCs/>
          <w:i/>
        </w:rPr>
        <w:t xml:space="preserve">See: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/spec/MAS_v1.1_Unified.md</w:t>
      </w:r>
      <w:r>
        <w:rPr>
          <w:iCs/>
          <w:i/>
        </w:rPr>
        <w:t xml:space="preserve"> </w:t>
      </w:r>
      <w:r>
        <w:rPr>
          <w:iCs/>
          <w:i/>
        </w:rPr>
        <w:t xml:space="preserve">— Section: Edge Meter Agent</w:t>
      </w:r>
    </w:p>
    <w:p>
      <w:r>
        <w:pict>
          <v:rect style="width:0;height:1.5pt" o:hralign="center" o:hrstd="t" o:hr="t"/>
        </w:pict>
      </w:r>
    </w:p>
    <w:bookmarkEnd w:id="32"/>
    <w:bookmarkStart w:id="33" w:name="for-operators-compliance-and-governance"/>
    <w:p>
      <w:pPr>
        <w:pStyle w:val="Heading2"/>
      </w:pPr>
      <w:r>
        <w:t xml:space="preserve">For Operators — Compliance and Governance</w:t>
      </w:r>
    </w:p>
    <w:p>
      <w:pPr>
        <w:pStyle w:val="FirstParagraph"/>
      </w:pPr>
      <w:r>
        <w:t xml:space="preserve">Deploy a</w:t>
      </w:r>
      <w:r>
        <w:t xml:space="preserve"> </w:t>
      </w:r>
      <w:r>
        <w:rPr>
          <w:bCs/>
          <w:b/>
        </w:rPr>
        <w:t xml:space="preserve">Host Meter Agent</w:t>
      </w:r>
      <w:r>
        <w:t xml:space="preserve"> </w:t>
      </w:r>
      <w:r>
        <w:t xml:space="preserve">to produce a continuous, cryptographically signed record of your system’s declared governance state and load-bearing runtime events.</w:t>
      </w:r>
    </w:p>
    <w:p>
      <w:pPr>
        <w:pStyle w:val="BodyText"/>
      </w:pPr>
      <w:r>
        <w:t xml:space="preserve">ASRO attestation provides:</w:t>
      </w:r>
      <w:r>
        <w:t xml:space="preserve"> </w:t>
      </w:r>
      <w:r>
        <w:t xml:space="preserve">- A technically verifiable record of governance continuity for your board, partners, and regulators</w:t>
      </w:r>
      <w:r>
        <w:t xml:space="preserve"> </w:t>
      </w:r>
      <w:r>
        <w:t xml:space="preserve">- Evidence that supports compliance demonstration and governance review under applicable law</w:t>
      </w:r>
      <w:r>
        <w:t xml:space="preserve"> </w:t>
      </w:r>
      <w:r>
        <w:t xml:space="preserve">- A structured audit trail that reviewers can examine without accessing conversation content or model internals</w:t>
      </w:r>
    </w:p>
    <w:p>
      <w:pPr>
        <w:pStyle w:val="BodyText"/>
      </w:pPr>
      <w:r>
        <w:rPr>
          <w:bCs/>
          <w:b/>
        </w:rPr>
        <w:t xml:space="preserve">ASRO attestation supports compliance demonstration. Whether that evidence satisfies the specific requirements of applicable statutes is a legal determination made by qualified counsel and regulators, not by ASRO.</w:t>
      </w:r>
    </w:p>
    <w:p>
      <w:pPr>
        <w:pStyle w:val="BodyText"/>
      </w:pPr>
      <w:r>
        <w:rPr>
          <w:iCs/>
          <w:i/>
        </w:rPr>
        <w:t xml:space="preserve">See: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/compliance/Implementation_Readiness_Checklist_v1.0.md</w:t>
      </w:r>
      <w:r>
        <w:rPr>
          <w:iCs/>
          <w:i/>
        </w:rPr>
        <w:t xml:space="preserve"> </w:t>
      </w:r>
      <w:r>
        <w:rPr>
          <w:iCs/>
          <w:i/>
        </w:rPr>
        <w:t xml:space="preserve">— start here</w:t>
      </w:r>
    </w:p>
    <w:p>
      <w:r>
        <w:pict>
          <v:rect style="width:0;height:1.5pt" o:hralign="center" o:hrstd="t" o:hr="t"/>
        </w:pict>
      </w:r>
    </w:p>
    <w:bookmarkEnd w:id="33"/>
    <w:bookmarkStart w:id="34" w:name="Xdc0863f879be077478c237210f192fc920bb004"/>
    <w:p>
      <w:pPr>
        <w:pStyle w:val="Heading2"/>
      </w:pPr>
      <w:r>
        <w:t xml:space="preserve">For Regulators and Auditors — Evidence and Review</w:t>
      </w:r>
    </w:p>
    <w:p>
      <w:pPr>
        <w:pStyle w:val="FirstParagraph"/>
      </w:pPr>
      <w:r>
        <w:t xml:space="preserve">ASRO provides a continuous, signed, independently checkable attestation record that answers:</w:t>
      </w:r>
      <w:r>
        <w:t xml:space="preserve"> </w:t>
      </w:r>
      <w:r>
        <w:t xml:space="preserve">- Was the declared governance configuration in force during this period?</w:t>
      </w:r>
      <w:r>
        <w:t xml:space="preserve"> </w:t>
      </w:r>
      <w:r>
        <w:t xml:space="preserve">- Did any undeclared change occur?</w:t>
      </w:r>
      <w:r>
        <w:t xml:space="preserve"> </w:t>
      </w:r>
      <w:r>
        <w:t xml:space="preserve">- Is the continuity chain intact, or are there gaps requiring explanation?</w:t>
      </w:r>
      <w:r>
        <w:t xml:space="preserve"> </w:t>
      </w:r>
      <w:r>
        <w:t xml:space="preserve">- What is the system’s current attestation status?</w:t>
      </w:r>
    </w:p>
    <w:p>
      <w:pPr>
        <w:pStyle w:val="BodyText"/>
      </w:pPr>
      <w:r>
        <w:t xml:space="preserve">ASRO review findings are evidentiary, not adjudicatory. Legal compliance determinations require human judgment applied to the attestation evidence, combined with the specific requirements of applicable statutes.</w:t>
      </w:r>
    </w:p>
    <w:p>
      <w:pPr>
        <w:pStyle w:val="BodyText"/>
      </w:pPr>
      <w:r>
        <w:t xml:space="preserve">ASRO does not determine legality or compliance outcome; it preserves the evidence chain on which those determinations can be based.</w:t>
      </w:r>
    </w:p>
    <w:p>
      <w:pPr>
        <w:pStyle w:val="BodyText"/>
      </w:pPr>
      <w:r>
        <w:rPr>
          <w:iCs/>
          <w:i/>
        </w:rPr>
        <w:t xml:space="preserve">See: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/governance/Governance_Response_Protocol_v1.0.md</w:t>
      </w:r>
      <w:r>
        <w:t xml:space="preserve"> </w:t>
      </w:r>
      <w:r>
        <w:rPr>
          <w:iCs/>
          <w:i/>
        </w:rPr>
        <w:t xml:space="preserve">See: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/governance/Governance_Rationale_v1.1.md</w:t>
      </w:r>
    </w:p>
    <w:p>
      <w:r>
        <w:pict>
          <v:rect style="width:0;height:1.5pt" o:hralign="center" o:hrstd="t" o:hr="t"/>
        </w:pict>
      </w:r>
    </w:p>
    <w:bookmarkEnd w:id="34"/>
    <w:bookmarkStart w:id="35" w:name="attestation-status-tiers"/>
    <w:p>
      <w:pPr>
        <w:pStyle w:val="Heading2"/>
      </w:pPr>
      <w:r>
        <w:t xml:space="preserve">Attestation Status Tiers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31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host_attested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Host Attestation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Operator-side attestation active. No claim of edge reconciliation.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reconciled_attested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Independent Verification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and edge attestation are both active and reconcilable under the declared observation conditions.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under_review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Attestation Under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Trust-relevant anomaly active. Status not clean. Required during S4 alerts.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non_compliant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Attestation Not 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cannot credibly claim current ASRO attestation compliance.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Trust Badge communicates attestation status only. It does not imply safety, accuracy, quality, harmlessness, or regulatory approval.</w:t>
      </w:r>
    </w:p>
    <w:p>
      <w:pPr>
        <w:pStyle w:val="BodyText"/>
      </w:pPr>
      <w:r>
        <w:t xml:space="preserve">A system that structurally prevents meaningful edge observation cannot claim</w:t>
      </w:r>
      <w:r>
        <w:t xml:space="preserve"> </w:t>
      </w:r>
      <w:r>
        <w:rPr>
          <w:rStyle w:val="VerbatimChar"/>
        </w:rPr>
        <w:t xml:space="preserve">Independent Verification Active</w:t>
      </w:r>
      <w:r>
        <w:t xml:space="preserve"> </w:t>
      </w:r>
      <w:r>
        <w:t xml:space="preserve">status.</w:t>
      </w:r>
    </w:p>
    <w:p>
      <w:pPr>
        <w:pStyle w:val="BodyText"/>
      </w:pPr>
      <w:r>
        <w:rPr>
          <w:iCs/>
          <w:i/>
        </w:rPr>
        <w:t xml:space="preserve">See: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/docs/ASRO_Trust_Badge_Spec_v1.0.md</w:t>
      </w:r>
    </w:p>
    <w:p>
      <w:r>
        <w:pict>
          <v:rect style="width:0;height:1.5pt" o:hralign="center" o:hrstd="t" o:hr="t"/>
        </w:pict>
      </w:r>
    </w:p>
    <w:bookmarkEnd w:id="35"/>
    <w:bookmarkStart w:id="36" w:name="known-limitations"/>
    <w:p>
      <w:pPr>
        <w:pStyle w:val="Heading2"/>
      </w:pPr>
      <w:r>
        <w:t xml:space="preserve">Known Limitations</w:t>
      </w:r>
    </w:p>
    <w:p>
      <w:pPr>
        <w:pStyle w:val="FirstParagraph"/>
      </w:pPr>
      <w:r>
        <w:t xml:space="preserve">These limitations are stated prominently because honest scope is what makes this framework credible.</w:t>
      </w:r>
    </w:p>
    <w:p>
      <w:pPr>
        <w:numPr>
          <w:ilvl w:val="0"/>
          <w:numId w:val="1005"/>
        </w:numPr>
        <w:pStyle w:val="Compact"/>
      </w:pPr>
      <w:r>
        <w:t xml:space="preserve">ASRO does not guarantee good model behavior.</w:t>
      </w:r>
    </w:p>
    <w:p>
      <w:pPr>
        <w:numPr>
          <w:ilvl w:val="0"/>
          <w:numId w:val="1005"/>
        </w:numPr>
        <w:pStyle w:val="Compact"/>
      </w:pPr>
      <w:r>
        <w:t xml:space="preserve">ASRO does not eliminate hallucinations.</w:t>
      </w:r>
    </w:p>
    <w:p>
      <w:pPr>
        <w:numPr>
          <w:ilvl w:val="0"/>
          <w:numId w:val="1005"/>
        </w:numPr>
        <w:pStyle w:val="Compact"/>
      </w:pPr>
      <w:r>
        <w:t xml:space="preserve">ASRO does not by itself prove legal compliance.</w:t>
      </w:r>
    </w:p>
    <w:p>
      <w:pPr>
        <w:numPr>
          <w:ilvl w:val="0"/>
          <w:numId w:val="1005"/>
        </w:numPr>
        <w:pStyle w:val="Compact"/>
      </w:pPr>
      <w:r>
        <w:t xml:space="preserve">ASRO does not prevent all infrastructure compromise.</w:t>
      </w:r>
    </w:p>
    <w:p>
      <w:pPr>
        <w:numPr>
          <w:ilvl w:val="0"/>
          <w:numId w:val="1005"/>
        </w:numPr>
        <w:pStyle w:val="Compact"/>
      </w:pPr>
      <w:r>
        <w:t xml:space="preserve">Host-only attestation is weaker than host-edge reconciled attestation.</w:t>
      </w:r>
    </w:p>
    <w:p>
      <w:pPr>
        <w:numPr>
          <w:ilvl w:val="0"/>
          <w:numId w:val="1005"/>
        </w:numPr>
        <w:pStyle w:val="Compact"/>
      </w:pPr>
      <w:r>
        <w:t xml:space="preserve">Low-visibility environments weaken edge assurance even when honestly declared.</w:t>
      </w:r>
    </w:p>
    <w:p>
      <w:r>
        <w:pict>
          <v:rect style="width:0;height:1.5pt" o:hralign="center" o:hrstd="t" o:hr="t"/>
        </w:pict>
      </w:r>
    </w:p>
    <w:bookmarkEnd w:id="36"/>
    <w:bookmarkStart w:id="42" w:name="document-index"/>
    <w:p>
      <w:pPr>
        <w:pStyle w:val="Heading2"/>
      </w:pPr>
      <w:r>
        <w:t xml:space="preserve">Document Index</w:t>
      </w:r>
    </w:p>
    <w:bookmarkStart w:id="37" w:name="technical"/>
    <w:p>
      <w:pPr>
        <w:pStyle w:val="Heading3"/>
      </w:pPr>
      <w:r>
        <w:t xml:space="preserve">Technical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1638"/>
        <w:gridCol w:w="35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Meter Agent Specification v1.1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/spec/MAS_v1.1_Unified.md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technical specification: telemetry, schemas, continuity, discrepancy taxonomy, trust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Annex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/docs/Technical_Annex_v1.0.md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architecture, data flow, deployment patterns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Threat Model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/threat-model/Threat_Model_v1.0.md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 surfaces, named attack patterns, mitigations</w:t>
            </w:r>
          </w:p>
        </w:tc>
      </w:tr>
    </w:tbl>
    <w:bookmarkEnd w:id="37"/>
    <w:bookmarkStart w:id="38" w:name="governance"/>
    <w:p>
      <w:pPr>
        <w:pStyle w:val="Heading3"/>
      </w:pPr>
      <w:r>
        <w:t xml:space="preserve">Governance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1638"/>
        <w:gridCol w:w="35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 Rationale v1.1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/governance/Governance_Rationale_v1.1.md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attestation-based governance is necessary; adoption logic; escalation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 Response Protocol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/governance/Governance_Response_Protocol_v1.0.md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 roles, S3/S4 response procedures, timelines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Threat Classification Framework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/governance/Threat_Classification_Framework_v1.0.md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threat categories ranked by governance significance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Credibility Pass Report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/governance/Credibility_Pass_Report_v1.0.md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quality certification — ten findings, all resolved</w:t>
            </w:r>
          </w:p>
        </w:tc>
      </w:tr>
    </w:tbl>
    <w:bookmarkEnd w:id="38"/>
    <w:bookmarkStart w:id="39" w:name="compliance-and-public"/>
    <w:p>
      <w:pPr>
        <w:pStyle w:val="Heading3"/>
      </w:pPr>
      <w:r>
        <w:t xml:space="preserve">Compliance and Public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1638"/>
        <w:gridCol w:w="35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Implementation Readiness Checklist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/compliance/Implementation_Readiness_Checklist_v1.0.md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10-point operator self-audit before claiming ASRO compliance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Trust Badge Specification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/docs/ASRO_Trust_Badge_Spec_v1.0.md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Human-readable and machine-readable badge status rules</w:t>
            </w:r>
          </w:p>
        </w:tc>
      </w:tr>
    </w:tbl>
    <w:bookmarkEnd w:id="39"/>
    <w:bookmarkStart w:id="40" w:name="case-studies"/>
    <w:p>
      <w:pPr>
        <w:pStyle w:val="Heading3"/>
      </w:pPr>
      <w:r>
        <w:t xml:space="preserve">Case Studies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1638"/>
        <w:gridCol w:w="35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Multi-System Review Summary v1.1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/docs/case-studies/ASRO_MultiSystem_Review_Summary_v1.1.md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CS-001: Ten-system behavioral review — baseline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Recursive Self-Audit v1.1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/docs/case-studies/ASRO_Case_Study_CS002_Recursive_Self_Audit_v1.1.md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CS-002: DeepSeek driven from S3 fabrication to S0 through iterative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Differential Self-Audit v1.3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/docs/case-studies/ASRO_Case_Study_CS003_Differential_Self_Audit_v1.3.md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CS-003: Cross-system differential audit — reasoning vs attestation vs evidence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Remediation Verification v1.1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/docs/case-studies/ASRO_Case_Study_CS004_Remediation_Verification_v1.1.md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CS-004: Amendment verification across three systems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Founding System Behavioral Study v1.3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/docs/case-studies/ASRO_Case_Study_CS005_Founding_System_Behavioral_Study_v1.3.md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CS-005: Role recognition, attribution verification, identity continuity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Multi-Condition Cross-System Study v1.1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/docs/case-studies/ASRO_Case_Study_CS006_v1.1.md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CS-006: Framework substitution failure mode — ten systems, controlled conditions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Repository Retrieval Integrity Study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/docs/case-studies/ASRO_Case_Study_CS007_Live_Repository_Retrieval_Integrity_Study_v1.0.md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CS-007: Ten systems, one public URL — framework substitution in the wild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Attestation Layer Failure Under Self-Application v1.1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/docs/case-studies/ASRO_Case_Study_CS008_Attestation_Layer_Failure_Under_Self_Application_v1.1.md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CS-008: Correctness does not imply attestation completeness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 Activation Series v1.4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/docs/case-studies/ASRO_Case_Study_CS009_Field_Activation_Series_v1.4.md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CS-009: Framework application in undesigned operational contexts — six instances, closed. Includes multi-agent epistemic protocol and full trust regress demonstration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Behavioral Correction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/docs/case-studies/ASRO_Case_Study_CS010_External_Behavioral_Correction_v1.0.md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CS-010: Six stages from hallucinated certainty to epistemic stability — external correction through attestation pressure without internal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Epistemic Profiles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/docs/case-studies/ASRO_Case_Study_CS011_Production_Epistemic_Profiles_v1.0.md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CS-011: Comparative production profiles — Rufus, Perplexity, PolyBuzz under live production conditions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Epistemic Challenge Protocol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/docs/case-studies/ASRO_Case_Study_CS012_Epistemic_Challenge_Protocol_v1.0.md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CS-012: Protocol specification — four-track adversarial method (authority injection, instruction conflict, epistemic override, constraint bypass)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ECP Live Application — Perplexity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/docs/case-studies/ASRO_Case_Study_CS012A_Perplexity_Live_Application_v1.0.md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CS-012A: First live ECP application on a real production artifact; branch-based testing; interface authority auditing</w:t>
            </w:r>
          </w:p>
        </w:tc>
      </w:tr>
    </w:tbl>
    <w:bookmarkEnd w:id="40"/>
    <w:bookmarkStart w:id="41" w:name="schemas"/>
    <w:p>
      <w:pPr>
        <w:pStyle w:val="Heading3"/>
      </w:pPr>
      <w:r>
        <w:t xml:space="preserve">Schemas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1900"/>
        <w:gridCol w:w="41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Controlled Vocabulary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/schemas/controlled_vocab.json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event types, reason codes, discrepancy classes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Discrepancy Taxonomy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/schemas/discrepancy_taxonomy.json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S0–S4 severity levels and class definitions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Continuity 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/schemas/continuity_protocol.json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Sequence, hash, and heartbeat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Developer Sandbox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/schemas/sandbox/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Non-production.</w:t>
            </w:r>
            <w:r>
              <w:t xml:space="preserve"> </w:t>
            </w:r>
            <w:r>
              <w:t xml:space="preserve">Testing schema only. Cannot be used for compliance claims.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3" w:name="repository"/>
    <w:p>
      <w:pPr>
        <w:pStyle w:val="Heading2"/>
      </w:pPr>
      <w:r>
        <w:t xml:space="preserve">Repository</w:t>
      </w:r>
    </w:p>
    <w:p>
      <w:pPr>
        <w:pStyle w:val="FirstParagraph"/>
      </w:pPr>
      <w:r>
        <w:t xml:space="preserve">ASRO is developed and maintained as an open governance framework.</w:t>
      </w:r>
    </w:p>
    <w:p>
      <w:pPr>
        <w:pStyle w:val="BodyText"/>
      </w:pPr>
      <w:r>
        <w:t xml:space="preserve">Repository:</w:t>
      </w:r>
      <w:r>
        <w:t xml:space="preserve"> </w:t>
      </w:r>
      <w:hyperlink r:id="rId20">
        <w:r>
          <w:rPr>
            <w:rStyle w:val="Hyperlink"/>
          </w:rPr>
          <w:t xml:space="preserve">https://github.com/magicianzcardstockllc/asro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ASRO v1.0 Release Candidate. This repository contains the frozen technical, governance, threat, compliance, and public-facing documents for the release candidate stack.</w:t>
      </w:r>
    </w:p>
    <w:p>
      <w:r>
        <w:pict>
          <v:rect style="width:0;height:1.5pt" o:hralign="center" o:hrstd="t" o:hr="t"/>
        </w:pict>
      </w:r>
    </w:p>
    <w:bookmarkEnd w:id="43"/>
    <w:bookmarkStart w:id="44" w:name="framework-integrity"/>
    <w:p>
      <w:pPr>
        <w:pStyle w:val="Heading2"/>
      </w:pPr>
      <w:r>
        <w:t xml:space="preserve">Framework Integrity</w:t>
      </w:r>
    </w:p>
    <w:p>
      <w:pPr>
        <w:pStyle w:val="FirstParagraph"/>
      </w:pPr>
      <w:r>
        <w:t xml:space="preserve">The following statements are locked across all ASRO v1.0 RC documents and must not be altered in any release material.</w:t>
      </w:r>
    </w:p>
    <w:p>
      <w:pPr>
        <w:pStyle w:val="BodyText"/>
      </w:pPr>
      <w:r>
        <w:rPr>
          <w:bCs/>
          <w:b/>
        </w:rPr>
        <w:t xml:space="preserve">Governance Claim</w:t>
      </w:r>
      <w:r>
        <w:t xml:space="preserve"> </w:t>
      </w:r>
      <w:r>
        <w:t xml:space="preserve">&gt; ASRO does not trust operators to report their own compliance — it makes compliance verifiable by the parties who depend on it.</w:t>
      </w:r>
    </w:p>
    <w:p>
      <w:pPr>
        <w:pStyle w:val="BodyText"/>
      </w:pPr>
      <w:r>
        <w:rPr>
          <w:bCs/>
          <w:b/>
        </w:rPr>
        <w:t xml:space="preserve">Canonical Trust Sentence</w:t>
      </w:r>
      <w:r>
        <w:t xml:space="preserve"> </w:t>
      </w:r>
      <w:r>
        <w:t xml:space="preserve">&gt; Internal measurement is not independent oversight. Trust arises only when host measurement, edge witnessing, and ASRO reconciliation remain consistent over time.</w:t>
      </w:r>
    </w:p>
    <w:p>
      <w:pPr>
        <w:pStyle w:val="BodyText"/>
      </w:pPr>
      <w:r>
        <w:rPr>
          <w:bCs/>
          <w:b/>
        </w:rPr>
        <w:t xml:space="preserve">Canonical Threat Sentence</w:t>
      </w:r>
      <w:r>
        <w:t xml:space="preserve"> </w:t>
      </w:r>
      <w:r>
        <w:t xml:space="preserve">&gt; The primary adversary in ASRO is not a system that refuses to attest, but a system that attests selectively enough to preserve plausible compliance while hiding governance-relevant change.</w:t>
      </w:r>
    </w:p>
    <w:p>
      <w:pPr>
        <w:pStyle w:val="BodyText"/>
      </w:pPr>
      <w:r>
        <w:rPr>
          <w:bCs/>
          <w:b/>
        </w:rPr>
        <w:t xml:space="preserve">Canonical Certification Sentence</w:t>
      </w:r>
      <w:r>
        <w:t xml:space="preserve"> </w:t>
      </w:r>
      <w:r>
        <w:t xml:space="preserve">&gt; ASRO v1.0 passes final credibility review as an attestation-and-governance evidence framework, not as a safety certification system, legal compliance guarantor, or enforcement authority.</w:t>
      </w:r>
    </w:p>
    <w:p>
      <w:r>
        <w:pict>
          <v:rect style="width:0;height:1.5pt" o:hralign="center" o:hrstd="t" o:hr="t"/>
        </w:pict>
      </w:r>
    </w:p>
    <w:bookmarkEnd w:id="44"/>
    <w:bookmarkStart w:id="46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project is licensed under the MIT License — see the</w:t>
      </w:r>
      <w:r>
        <w:t xml:space="preserve"> </w:t>
      </w:r>
      <w:hyperlink r:id="rId45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file for details. This includes all documentation, schemas, and specification materials in this repository.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LICENSE" TargetMode="External" /><Relationship Type="http://schemas.openxmlformats.org/officeDocument/2006/relationships/hyperlink" Id="rId20" Target="https://github.com/magicianzcardstockllc/asr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LICENSE" TargetMode="External" /><Relationship Type="http://schemas.openxmlformats.org/officeDocument/2006/relationships/hyperlink" Id="rId20" Target="https://github.com/magicianzcardstockllc/asr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2026-04-16T04:14:23Z</dcterms:created>
  <dcterms:modified xsi:type="dcterms:W3CDTF">2026-04-16T04:14:23Z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