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2"/>
          <w:szCs w:val="52"/>
        </w:rPr>
        <w:t xml:space="preserve">ASRO</w:t>
      </w:r>
    </w:p>
    <w:p>
      <w:pPr>
        <w:spacing w:after="80"/>
      </w:pPr>
      <w:r>
        <w:rPr>
          <w:rFonts w:ascii="Arial" w:cs="Arial" w:eastAsia="Arial" w:hAnsi="Arial"/>
          <w:color w:val="2E75B6"/>
          <w:sz w:val="28"/>
          <w:szCs w:val="28"/>
        </w:rPr>
        <w:t xml:space="preserve">AI Systems Reliability Operator</w:t>
      </w:r>
    </w:p>
    <w:p>
      <w:pPr>
        <w:spacing w:after="80"/>
      </w:pPr>
      <w:r>
        <w:rPr>
          <w:rFonts w:ascii="Arial" w:cs="Arial" w:eastAsia="Arial" w:hAnsi="Arial"/>
          <w:b/>
          <w:bCs/>
          <w:sz w:val="28"/>
          <w:szCs w:val="28"/>
        </w:rPr>
        <w:t xml:space="preserve">Threat Model &amp; Adversarial Scenarios</w:t>
      </w:r>
    </w:p>
    <w:p>
      <w:pPr>
        <w:spacing w:after="120"/>
      </w:pPr>
      <w:r>
        <w:rPr>
          <w:rFonts w:ascii="Arial" w:cs="Arial" w:eastAsia="Arial" w:hAnsi="Arial"/>
          <w:i/>
          <w:iCs/>
          <w:color w:val="666666"/>
          <w:sz w:val="24"/>
          <w:szCs w:val="24"/>
        </w:rPr>
        <w:t xml:space="preserve">Version 1.0 | March 2026 | Prepared for Phase 3.5 Spec Development</w:t>
      </w:r>
    </w:p>
    <w:p>
      <w:pPr>
        <w:pBdr>
          <w:bottom w:val="single" w:color="2E75B6" w:sz="6" w:space="1"/>
        </w:pBdr>
        <w:spacing w:after="160"/>
      </w:pPr>
      <w:r>
        <w:t xml:space="preserve"/>
      </w:r>
    </w:p>
    <w:p>
      <w:pPr>
        <w:pStyle w:val="Heading1"/>
      </w:pPr>
      <w:r>
        <w:rPr>
          <w:rFonts w:ascii="Arial" w:cs="Arial" w:eastAsia="Arial" w:hAnsi="Arial"/>
        </w:rPr>
        <w:t xml:space="preserve">Purpose and Scope</w:t>
      </w:r>
    </w:p>
    <w:p>
      <w:pPr>
        <w:spacing w:after="120"/>
      </w:pPr>
      <w:r>
        <w:rPr>
          <w:rFonts w:ascii="Arial" w:cs="Arial" w:eastAsia="Arial" w:hAnsi="Arial"/>
          <w:sz w:val="24"/>
          <w:szCs w:val="24"/>
        </w:rPr>
        <w:t xml:space="preserve">This document serves two functions. First, it enumerates the attack surface of the ASRO attestation system. Second, and more importantly, it establishes that ASRO's integrity claims survive adversarial pressure.</w:t>
      </w:r>
    </w:p>
    <w:p>
      <w:pPr>
        <w:spacing w:after="120"/>
      </w:pPr>
      <w:r>
        <w:rPr>
          <w:rFonts w:ascii="Arial" w:cs="Arial" w:eastAsia="Arial" w:hAnsi="Arial"/>
          <w:sz w:val="24"/>
          <w:szCs w:val="24"/>
        </w:rPr>
        <w:t xml:space="preserve">The ASRO framework's legal stress test argument depends on this document. The claim that ASRO provides a defensible posture in litigation is only credible if the adversarial model has been explicitly worked through. This is not a list of theoretical vulnerabilities — it is the document an opposing counsel would use in deposition.</w:t>
      </w:r>
    </w:p>
    <w:p>
      <w:pPr>
        <w:spacing w:after="120"/>
      </w:pPr>
      <w:r>
        <w:t xml:space="preserve"/>
      </w:r>
    </w:p>
    <w:p>
      <w:pPr>
        <w:pStyle w:val="Heading1"/>
      </w:pPr>
      <w:r>
        <w:rPr>
          <w:rFonts w:ascii="Arial" w:cs="Arial" w:eastAsia="Arial" w:hAnsi="Arial"/>
        </w:rPr>
        <w:t xml:space="preserve">Foundational Constraint: What ASRO Can and Cannot Prove</w:t>
      </w:r>
    </w:p>
    <w:p>
      <w:pPr>
        <w:pStyle w:val="Heading2"/>
      </w:pPr>
      <w:r>
        <w:rPr>
          <w:rFonts w:ascii="Arial" w:cs="Arial" w:eastAsia="Arial" w:hAnsi="Arial"/>
        </w:rPr>
        <w:t xml:space="preserve">ASRO proves:</w:t>
      </w:r>
    </w:p>
    <w:p>
      <w:pPr>
        <w:pStyle w:val="ListParagraph"/>
        <w:numPr>
          <w:ilvl w:val="0"/>
          <w:numId w:val="2"/>
        </w:numPr>
        <w:spacing w:after="80"/>
      </w:pPr>
      <w:r>
        <w:rPr>
          <w:rFonts w:ascii="Arial" w:cs="Arial" w:eastAsia="Arial" w:hAnsi="Arial"/>
          <w:sz w:val="24"/>
          <w:szCs w:val="24"/>
        </w:rPr>
        <w:t xml:space="preserve">That a change event was cryptographically signed at a specific time</w:t>
      </w:r>
    </w:p>
    <w:p>
      <w:pPr>
        <w:pStyle w:val="ListParagraph"/>
        <w:numPr>
          <w:ilvl w:val="0"/>
          <w:numId w:val="2"/>
        </w:numPr>
        <w:spacing w:after="80"/>
      </w:pPr>
      <w:r>
        <w:rPr>
          <w:rFonts w:ascii="Arial" w:cs="Arial" w:eastAsia="Arial" w:hAnsi="Arial"/>
          <w:sz w:val="24"/>
          <w:szCs w:val="24"/>
        </w:rPr>
        <w:t xml:space="preserve">That the signed record has not been altered since submission</w:t>
      </w:r>
    </w:p>
    <w:p>
      <w:pPr>
        <w:pStyle w:val="ListParagraph"/>
        <w:numPr>
          <w:ilvl w:val="0"/>
          <w:numId w:val="2"/>
        </w:numPr>
        <w:spacing w:after="80"/>
      </w:pPr>
      <w:r>
        <w:rPr>
          <w:rFonts w:ascii="Arial" w:cs="Arial" w:eastAsia="Arial" w:hAnsi="Arial"/>
          <w:sz w:val="24"/>
          <w:szCs w:val="24"/>
        </w:rPr>
        <w:t xml:space="preserve">That the chain of records has no detectable gaps</w:t>
      </w:r>
    </w:p>
    <w:p>
      <w:pPr>
        <w:pStyle w:val="ListParagraph"/>
        <w:numPr>
          <w:ilvl w:val="0"/>
          <w:numId w:val="2"/>
        </w:numPr>
        <w:spacing w:after="80"/>
      </w:pPr>
      <w:r>
        <w:rPr>
          <w:rFonts w:ascii="Arial" w:cs="Arial" w:eastAsia="Arial" w:hAnsi="Arial"/>
          <w:sz w:val="24"/>
          <w:szCs w:val="24"/>
        </w:rPr>
        <w:t xml:space="preserve">That aggregate behavioral metrics changed or did not change in association with a logged event</w:t>
      </w:r>
    </w:p>
    <w:p>
      <w:pPr>
        <w:pStyle w:val="Heading2"/>
      </w:pPr>
      <w:r>
        <w:rPr>
          <w:rFonts w:ascii="Arial" w:cs="Arial" w:eastAsia="Arial" w:hAnsi="Arial"/>
        </w:rPr>
        <w:t xml:space="preserve">ASRO does not prove:</w:t>
      </w:r>
    </w:p>
    <w:p>
      <w:pPr>
        <w:pStyle w:val="ListParagraph"/>
        <w:numPr>
          <w:ilvl w:val="0"/>
          <w:numId w:val="2"/>
        </w:numPr>
        <w:spacing w:after="80"/>
      </w:pPr>
      <w:r>
        <w:rPr>
          <w:rFonts w:ascii="Arial" w:cs="Arial" w:eastAsia="Arial" w:hAnsi="Arial"/>
          <w:sz w:val="24"/>
          <w:szCs w:val="24"/>
        </w:rPr>
        <w:t xml:space="preserve">That all change events were submitted (omission is undetectable)</w:t>
      </w:r>
    </w:p>
    <w:p>
      <w:pPr>
        <w:pStyle w:val="ListParagraph"/>
        <w:numPr>
          <w:ilvl w:val="0"/>
          <w:numId w:val="2"/>
        </w:numPr>
        <w:spacing w:after="80"/>
      </w:pPr>
      <w:r>
        <w:rPr>
          <w:rFonts w:ascii="Arial" w:cs="Arial" w:eastAsia="Arial" w:hAnsi="Arial"/>
          <w:sz w:val="24"/>
          <w:szCs w:val="24"/>
        </w:rPr>
        <w:t xml:space="preserve">That reported behavioral metrics accurately reflect actual behavior</w:t>
      </w:r>
    </w:p>
    <w:p>
      <w:pPr>
        <w:pStyle w:val="ListParagraph"/>
        <w:numPr>
          <w:ilvl w:val="0"/>
          <w:numId w:val="2"/>
        </w:numPr>
        <w:spacing w:after="80"/>
      </w:pPr>
      <w:r>
        <w:rPr>
          <w:rFonts w:ascii="Arial" w:cs="Arial" w:eastAsia="Arial" w:hAnsi="Arial"/>
          <w:sz w:val="24"/>
          <w:szCs w:val="24"/>
        </w:rPr>
        <w:t xml:space="preserve">That event type classifications are accurate</w:t>
      </w:r>
    </w:p>
    <w:p>
      <w:pPr>
        <w:pStyle w:val="ListParagraph"/>
        <w:numPr>
          <w:ilvl w:val="0"/>
          <w:numId w:val="2"/>
        </w:numPr>
        <w:spacing w:after="80"/>
      </w:pPr>
      <w:r>
        <w:rPr>
          <w:rFonts w:ascii="Arial" w:cs="Arial" w:eastAsia="Arial" w:hAnsi="Arial"/>
          <w:sz w:val="24"/>
          <w:szCs w:val="24"/>
        </w:rPr>
        <w:t xml:space="preserve">That the internal audit backbone is complete or accurate</w:t>
      </w:r>
    </w:p>
    <w:p>
      <w:pPr>
        <w:spacing w:after="120"/>
      </w:pPr>
      <w:r>
        <w:t xml:space="preserve"/>
      </w:r>
    </w:p>
    <w:p>
      <w:pPr>
        <w:spacing w:after="120"/>
      </w:pPr>
      <w:r>
        <w:rPr>
          <w:rFonts w:ascii="Arial" w:cs="Arial" w:eastAsia="Arial" w:hAnsi="Arial"/>
          <w:sz w:val="24"/>
          <w:szCs w:val="24"/>
        </w:rPr>
        <w:t xml:space="preserve">ASRO proves the integrity of what was submitted. Independent auditors must periodically verify that what was submitted faithfully represents what occurred.</w:t>
      </w:r>
    </w:p>
    <w:p>
      <w:pPr>
        <w:spacing w:after="120"/>
      </w:pPr>
      <w:r>
        <w:t xml:space="preserve"/>
      </w:r>
    </w:p>
    <w:p>
      <w:pPr>
        <w:pStyle w:val="Heading1"/>
      </w:pPr>
      <w:r>
        <w:rPr>
          <w:rFonts w:ascii="Arial" w:cs="Arial" w:eastAsia="Arial" w:hAnsi="Arial"/>
        </w:rPr>
        <w:t xml:space="preserve">Why Traditional Auditing Fails: The Probabilistic Replay Limitation</w:t>
      </w:r>
    </w:p>
    <w:p>
      <w:pPr>
        <w:spacing w:after="120"/>
      </w:pPr>
      <w:r>
        <w:rPr>
          <w:rFonts w:ascii="Arial" w:cs="Arial" w:eastAsia="Arial" w:hAnsi="Arial"/>
          <w:sz w:val="24"/>
          <w:szCs w:val="24"/>
        </w:rPr>
        <w:t xml:space="preserve">Modern AI systems are non-deterministic. Given identical input at two different points in time, the same system will not reliably produce identical output. Retroactive auditing through replay is therefore not viable.</w:t>
      </w:r>
    </w:p>
    <w:p>
      <w:pPr>
        <w:spacing w:after="120"/>
      </w:pPr>
      <w:r>
        <w:rPr>
          <w:rFonts w:ascii="Arial" w:cs="Arial" w:eastAsia="Arial" w:hAnsi="Arial"/>
          <w:sz w:val="24"/>
          <w:szCs w:val="24"/>
        </w:rPr>
        <w:t xml:space="preserve">ASRO's attestation-at-change-time model is the only verification approach that works within this constraint. Signed proof at the moment of change provides the maximum verifiability available — not a compromise on full transparency, but the ceiling of what is technically achievable. This is ASRO's affirmative case, not a caveat.</w:t>
      </w:r>
    </w:p>
    <w:p>
      <w:pPr>
        <w:spacing w:after="120"/>
      </w:pPr>
      <w:r>
        <w:t xml:space="preserve"/>
      </w:r>
    </w:p>
    <w:p>
      <w:pPr>
        <w:pStyle w:val="Heading1"/>
      </w:pPr>
      <w:r>
        <w:rPr>
          <w:rFonts w:ascii="Arial" w:cs="Arial" w:eastAsia="Arial" w:hAnsi="Arial"/>
        </w:rPr>
        <w:t xml:space="preserve">Attack Vector Taxonomy</w:t>
      </w:r>
    </w:p>
    <w:p>
      <w:pPr>
        <w:pStyle w:val="Heading2"/>
      </w:pPr>
      <w:r>
        <w:rPr>
          <w:rFonts w:ascii="Arial" w:cs="Arial" w:eastAsia="Arial" w:hAnsi="Arial"/>
        </w:rPr>
        <w:t xml:space="preserve">Category 1: Participating System (Lab) Attacks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ASRO Detection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Mitigation / Residual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omission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ASRO cannot detect what was never submitted.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Spot audits. Auditors verify submitted records against internal change logs. Residual: collusion between lab and auditor.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mislabeling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Partial. Behavioral delta anomalies may flag mismatches.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Cross-system consistency checks. Auditors verify classification accuracy.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 fingerprint manipulation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at submission. ASRO verifies chain, not content hashed.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Quarterly backbone attestation. Independent auditors verify fingerprints match internal backbone. Most technically serious attack.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Behavioral metric falsification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Partial. Cross-system consistency checks compare patterns.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Independent behavioral evaluation by third parties.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Retroactive log construction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Partial. Daily Merkle root limits window to 24 hours.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Public timestamp anchoring. Residual: within-day window remains.</w:t>
            </w:r>
          </w:p>
        </w:tc>
      </w:tr>
    </w:tbl>
    <w:p>
      <w:pPr>
        <w:spacing w:after="120"/>
      </w:pPr>
      <w:r>
        <w:t xml:space="preserve"/>
      </w:r>
    </w:p>
    <w:p>
      <w:pPr>
        <w:pStyle w:val="Heading2"/>
      </w:pPr>
      <w:r>
        <w:rPr>
          <w:rFonts w:ascii="Arial" w:cs="Arial" w:eastAsia="Arial" w:hAnsi="Arial"/>
        </w:rPr>
        <w:t xml:space="preserve">Category 2: ASRO Operator Attacks</w:t>
      </w:r>
    </w:p>
    <w:p>
      <w:pPr>
        <w:spacing w:after="120"/>
      </w:pPr>
      <w:r>
        <w:rPr>
          <w:rFonts w:ascii="Arial" w:cs="Arial" w:eastAsia="Arial" w:hAnsi="Arial"/>
          <w:sz w:val="24"/>
          <w:szCs w:val="24"/>
        </w:rPr>
        <w:t xml:space="preserve">These attacks become structurally possible if ASRO is captured. The independence requirement exists specifically to prevent this category.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Structural Prevention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Residual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Selective publication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Independent governance. No single company controls publication.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Governance capture if board is dominated by one company.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 timing manipulation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Randomized spot audit protocol; not announced in advance.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Insider knowledge of selection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Signature verification bypass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Technical enforcement; verification is automated.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Software vulnerability requiring code audit.</w:t>
            </w:r>
          </w:p>
        </w:tc>
      </w:tr>
    </w:tbl>
    <w:p>
      <w:pPr>
        <w:spacing w:after="120"/>
      </w:pPr>
      <w:r>
        <w:t xml:space="preserve"/>
      </w:r>
    </w:p>
    <w:p>
      <w:pPr>
        <w:pStyle w:val="Heading2"/>
      </w:pPr>
      <w:r>
        <w:rPr>
          <w:rFonts w:ascii="Arial" w:cs="Arial" w:eastAsia="Arial" w:hAnsi="Arial"/>
        </w:rPr>
        <w:t xml:space="preserve">Category 3: External / Systemic Attacks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ASRO Detection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Mitigation / Residual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Coordinated omission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No mechanism to detect coordinated non-submission.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Regulatory mandate. Non-participation = direct legal liability. Strongest structural incentive.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Timestamp anchor compromise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directly.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Use multiple independent timestamp services.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Strategic incompleteness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if category is not in scope.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taxonomy publicly versioned with formal amendment process. Required as spec design requirement.</w:t>
            </w:r>
          </w:p>
        </w:tc>
      </w:tr>
    </w:tbl>
    <w:p>
      <w:pPr>
        <w:spacing w:after="120"/>
      </w:pPr>
      <w:r>
        <w:t xml:space="preserve"/>
      </w:r>
    </w:p>
    <w:p>
      <w:pPr>
        <w:pStyle w:val="Heading1"/>
      </w:pPr>
      <w:r>
        <w:rPr>
          <w:rFonts w:ascii="Arial" w:cs="Arial" w:eastAsia="Arial" w:hAnsi="Arial"/>
        </w:rPr>
        <w:t xml:space="preserve">The Deposition Test</w:t>
      </w:r>
    </w:p>
    <w:p>
      <w:pPr>
        <w:pStyle w:val="Heading2"/>
      </w:pPr>
      <w:r>
        <w:rPr>
          <w:rFonts w:ascii="Arial" w:cs="Arial" w:eastAsia="Arial" w:hAnsi="Arial"/>
        </w:rPr>
        <w:t xml:space="preserve">Q: How do we know the company didn't change the system without logging it?</w:t>
      </w:r>
    </w:p>
    <w:p>
      <w:pPr>
        <w:spacing w:after="120"/>
      </w:pPr>
      <w:r>
        <w:rPr>
          <w:rFonts w:ascii="Arial" w:cs="Arial" w:eastAsia="Arial" w:hAnsi="Arial"/>
          <w:sz w:val="24"/>
          <w:szCs w:val="24"/>
        </w:rPr>
        <w:t xml:space="preserve">The ASRO public record alone cannot prove this. What we can show: (1) submitted records are cryptographically signed and unaltered; (2) the daily Merkle root was anchored to an external timestamp service before this proceeding; (3) spot auditors with internal access have periodically verified submitted records match the internal audit backbone. If a company omitted an event, that omission would need to have gone undetected by independent auditors across multiple quarterly review cycles.</w:t>
      </w:r>
    </w:p>
    <w:p>
      <w:pPr>
        <w:pStyle w:val="Heading2"/>
      </w:pPr>
      <w:r>
        <w:rPr>
          <w:rFonts w:ascii="Arial" w:cs="Arial" w:eastAsia="Arial" w:hAnsi="Arial"/>
        </w:rPr>
        <w:t xml:space="preserve">Q: Couldn't the company label a safety change as a routine data refresh?</w:t>
      </w:r>
    </w:p>
    <w:p>
      <w:pPr>
        <w:spacing w:after="120"/>
      </w:pPr>
      <w:r>
        <w:rPr>
          <w:rFonts w:ascii="Arial" w:cs="Arial" w:eastAsia="Arial" w:hAnsi="Arial"/>
          <w:sz w:val="24"/>
          <w:szCs w:val="24"/>
        </w:rPr>
        <w:t xml:space="preserve">Possibly. Cross-system consistency checks flag behavioral deltas that diverge from stated event types. A significant behavioral change associated with a logged 'data refresh' would be flagged as an anomaly requiring explanation. Independent behavioral evaluation by third parties is a structural requirement to address this residual risk.</w:t>
      </w:r>
    </w:p>
    <w:p>
      <w:pPr>
        <w:pStyle w:val="Heading2"/>
      </w:pPr>
      <w:r>
        <w:rPr>
          <w:rFonts w:ascii="Arial" w:cs="Arial" w:eastAsia="Arial" w:hAnsi="Arial"/>
        </w:rPr>
        <w:t xml:space="preserve">Q: What if the hash submitted doesn't correspond to the actual system state?</w:t>
      </w:r>
    </w:p>
    <w:p>
      <w:pPr>
        <w:spacing w:after="120"/>
      </w:pPr>
      <w:r>
        <w:rPr>
          <w:rFonts w:ascii="Arial" w:cs="Arial" w:eastAsia="Arial" w:hAnsi="Arial"/>
          <w:sz w:val="24"/>
          <w:szCs w:val="24"/>
        </w:rPr>
        <w:t xml:space="preserve">Quarterly backbone attestation addresses this. Independent auditors with internal access verify that fingerprints in the ASRO ledger correspond to what is recorded in the internal audit backbone. If the backbone shows a different system state, that discrepancy is the finding. ASRO is the external anchor; backbone attestation is the verification layer.</w:t>
      </w:r>
    </w:p>
    <w:p>
      <w:pPr>
        <w:pStyle w:val="Heading2"/>
      </w:pPr>
      <w:r>
        <w:rPr>
          <w:rFonts w:ascii="Arial" w:cs="Arial" w:eastAsia="Arial" w:hAnsi="Arial"/>
        </w:rPr>
        <w:t xml:space="preserve">Q: Couldn't multiple companies agree not to log certain things?</w:t>
      </w:r>
    </w:p>
    <w:p>
      <w:pPr>
        <w:spacing w:after="120"/>
      </w:pPr>
      <w:r>
        <w:rPr>
          <w:rFonts w:ascii="Arial" w:cs="Arial" w:eastAsia="Arial" w:hAnsi="Arial"/>
          <w:sz w:val="24"/>
          <w:szCs w:val="24"/>
        </w:rPr>
        <w:t xml:space="preserve">Coordinated omission is the hardest attack to detect through ASRO alone. The structural mitigation is legal: if ASRO participation is a condition of operating in certain markets, omission creates direct legal liability independent of ASRO's detection capability. Any omission of a required category becomes a documented compliance failure with legal consequences.</w:t>
      </w:r>
    </w:p>
    <w:p>
      <w:pPr>
        <w:spacing w:after="120"/>
      </w:pPr>
      <w:r>
        <w:t xml:space="preserve"/>
      </w:r>
    </w:p>
    <w:p>
      <w:pPr>
        <w:pStyle w:val="Heading1"/>
      </w:pPr>
      <w:r>
        <w:rPr>
          <w:rFonts w:ascii="Arial" w:cs="Arial" w:eastAsia="Arial" w:hAnsi="Arial"/>
        </w:rPr>
        <w:t xml:space="preserve">Residual Risk Summary</w:t>
      </w:r>
    </w:p>
    <w:p>
      <w:pPr>
        <w:pStyle w:val="ListParagraph"/>
        <w:numPr>
          <w:ilvl w:val="0"/>
          <w:numId w:val="2"/>
        </w:numPr>
        <w:spacing w:after="80"/>
      </w:pPr>
      <w:r>
        <w:rPr>
          <w:rFonts w:ascii="Arial" w:cs="Arial" w:eastAsia="Arial" w:hAnsi="Arial"/>
          <w:sz w:val="24"/>
          <w:szCs w:val="24"/>
        </w:rPr>
        <w:t xml:space="preserve">Within-day retroactive construction: 24-hour gap between Merkle anchors. Mitigation: hourly anchoring (feasible).</w:t>
      </w:r>
    </w:p>
    <w:p>
      <w:pPr>
        <w:pStyle w:val="ListParagraph"/>
        <w:numPr>
          <w:ilvl w:val="0"/>
          <w:numId w:val="2"/>
        </w:numPr>
        <w:spacing w:after="80"/>
      </w:pPr>
      <w:r>
        <w:rPr>
          <w:rFonts w:ascii="Arial" w:cs="Arial" w:eastAsia="Arial" w:hAnsi="Arial"/>
          <w:sz w:val="24"/>
          <w:szCs w:val="24"/>
        </w:rPr>
        <w:t xml:space="preserve">Auditor capture: Auditors with lab relationships may not be fully independent. Mitigation: rotation, conflict-of-interest disclosure.</w:t>
      </w:r>
    </w:p>
    <w:p>
      <w:pPr>
        <w:pStyle w:val="ListParagraph"/>
        <w:numPr>
          <w:ilvl w:val="0"/>
          <w:numId w:val="2"/>
        </w:numPr>
        <w:spacing w:after="80"/>
      </w:pPr>
      <w:r>
        <w:rPr>
          <w:rFonts w:ascii="Arial" w:cs="Arial" w:eastAsia="Arial" w:hAnsi="Arial"/>
          <w:sz w:val="24"/>
          <w:szCs w:val="24"/>
        </w:rPr>
        <w:t xml:space="preserve">Event taxonomy gaps: Changes outside defined taxonomy cannot be logged. Mitigation: public versioning with formal amendment process.</w:t>
      </w:r>
    </w:p>
    <w:p>
      <w:pPr>
        <w:pStyle w:val="ListParagraph"/>
        <w:numPr>
          <w:ilvl w:val="0"/>
          <w:numId w:val="2"/>
        </w:numPr>
        <w:spacing w:after="80"/>
      </w:pPr>
      <w:r>
        <w:rPr>
          <w:rFonts w:ascii="Arial" w:cs="Arial" w:eastAsia="Arial" w:hAnsi="Arial"/>
          <w:sz w:val="24"/>
          <w:szCs w:val="24"/>
        </w:rPr>
        <w:t xml:space="preserve">Behavioral metric gaming: Metrics can be optimized to appear stable. Mitigation: precise metric definitions, independent evaluation.</w:t>
      </w:r>
    </w:p>
    <w:p>
      <w:pPr>
        <w:pStyle w:val="ListParagraph"/>
        <w:numPr>
          <w:ilvl w:val="0"/>
          <w:numId w:val="2"/>
        </w:numPr>
        <w:spacing w:after="80"/>
      </w:pPr>
      <w:r>
        <w:rPr>
          <w:rFonts w:ascii="Arial" w:cs="Arial" w:eastAsia="Arial" w:hAnsi="Arial"/>
          <w:sz w:val="24"/>
          <w:szCs w:val="24"/>
        </w:rPr>
        <w:t xml:space="preserve">ASRO governance capture: Governing body dominated by participating labs. Mitigation: hard-coded representation limits and independence trigger.</w:t>
      </w:r>
    </w:p>
    <w:p>
      <w:pPr>
        <w:pBdr>
          <w:bottom w:val="single" w:color="2E75B6" w:sz="6" w:space="1"/>
        </w:pBdr>
        <w:spacing w:after="160"/>
      </w:pPr>
      <w:r>
        <w:t xml:space="preserve"/>
      </w:r>
    </w:p>
    <w:p>
      <w:pPr>
        <w:spacing w:after="120"/>
      </w:pPr>
      <w:r>
        <w:rPr>
          <w:rFonts w:ascii="Arial" w:cs="Arial" w:eastAsia="Arial" w:hAnsi="Arial"/>
          <w:i/>
          <w:iCs/>
          <w:color w:val="666666"/>
          <w:sz w:val="24"/>
          <w:szCs w:val="24"/>
        </w:rPr>
        <w:t xml:space="preserve">ASRO Threat Model v1.0 | james@michigrid.org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2026-04-01T15:27:22.597Z</dcterms:created>
  <dcterms:modified xsi:type="dcterms:W3CDTF">2026-04-01T15:27:22.597Z</dcterms:modified>
</cp:coreProperties>
</file>

<file path=docProps/custom.xml><?xml version="1.0" encoding="utf-8"?>
<Properties xmlns="http://schemas.openxmlformats.org/officeDocument/2006/custom-properties" xmlns:vt="http://schemas.openxmlformats.org/officeDocument/2006/docPropsVTypes"/>
</file>