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asro-v1.0-release-candidate"/>
    <w:p>
      <w:pPr>
        <w:pStyle w:val="Heading1"/>
      </w:pPr>
      <w:r>
        <w:t xml:space="preserve">ASRO v1.0 Release Candidate</w:t>
      </w:r>
    </w:p>
    <w:bookmarkStart w:id="21" w:name="Xf3ef199c1a02659848d6e7d6dbd6ba07ef36220"/>
    <w:p>
      <w:pPr>
        <w:pStyle w:val="Heading2"/>
      </w:pPr>
      <w:r>
        <w:t xml:space="preserve">Attestation and System Reliability Operator — AI Governance Evidence Framework</w:t>
      </w:r>
    </w:p>
    <w:p>
      <w:pPr>
        <w:pStyle w:val="FirstParagraph"/>
      </w:pPr>
      <w:r>
        <w:rPr>
          <w:bCs/>
          <w:b/>
        </w:rPr>
        <w:t xml:space="preserve">Contact:</w:t>
      </w:r>
      <w:r>
        <w:t xml:space="preserve"> </w:t>
      </w:r>
      <w:r>
        <w:t xml:space="preserve">james@aisystemsreliability.org</w:t>
      </w:r>
      <w:r>
        <w:t xml:space="preserve"> </w:t>
      </w:r>
      <w:r>
        <w:rPr>
          <w:bCs/>
          <w:b/>
        </w:rPr>
        <w:t xml:space="preserve">Repository:</w:t>
      </w:r>
      <w:r>
        <w:t xml:space="preserve"> </w:t>
      </w:r>
      <w:hyperlink r:id="rId20">
        <w:r>
          <w:rPr>
            <w:rStyle w:val="Hyperlink"/>
          </w:rPr>
          <w:t xml:space="preserve">https://github.com/magicianzcardstockllc/asro</w:t>
        </w:r>
      </w:hyperlink>
    </w:p>
    <w:p>
      <w:r>
        <w:pict>
          <v:rect style="width:0;height:1.5pt" o:hralign="center" o:hrstd="t" o:hr="t"/>
        </w:pict>
      </w:r>
    </w:p>
    <w:p>
      <w:pPr>
        <w:pStyle w:val="BlockText"/>
      </w:pPr>
      <w:r>
        <w:rPr>
          <w:bCs/>
          <w:b/>
        </w:rPr>
        <w:t xml:space="preserve">ASRO does not trust operators to report their own compliance — it makes compliance verifiable by the parties who depend on it.</w:t>
      </w:r>
    </w:p>
    <w:p>
      <w:pPr>
        <w:pStyle w:val="BlockText"/>
      </w:pPr>
      <w:r>
        <w:rPr>
          <w:bCs/>
          <w:b/>
        </w:rPr>
        <w:t xml:space="preserve">Internal measurement is not independent oversight. Trust arises only when host measurement, edge witnessing, and ASRO reconciliation remain consistent over time.</w:t>
      </w:r>
    </w:p>
    <w:p>
      <w:r>
        <w:pict>
          <v:rect style="width:0;height:1.5pt" o:hralign="center" o:hrstd="t" o:hr="t"/>
        </w:pict>
      </w:r>
    </w:p>
    <w:p>
      <w:pPr>
        <w:pStyle w:val="FirstParagraph"/>
      </w:pPr>
      <w:r>
        <w:t xml:space="preserve">ASRO is a cryptographic attestation framework for verifying AI deployment-state continuity. It makes governance claims independently checkable without requiring access to conversation content, model internals, or user data.</w:t>
      </w:r>
    </w:p>
    <w:p>
      <w:pPr>
        <w:pStyle w:val="BodyText"/>
      </w:pPr>
      <w:r>
        <w:rPr>
          <w:iCs/>
          <w:i/>
        </w:rPr>
        <w:t xml:space="preserve">ASRO was developed by James Aull, founder of Michigrid, a cooperative energy infrastructure platform in formation under Michigan law, through the same multi-system AI coordination process that produced the framework itself.</w:t>
      </w:r>
    </w:p>
    <w:p>
      <w:r>
        <w:pict>
          <v:rect style="width:0;height:1.5pt" o:hralign="center" o:hrstd="t" o:hr="t"/>
        </w:pict>
      </w:r>
    </w:p>
    <w:bookmarkEnd w:id="21"/>
    <w:bookmarkStart w:id="22" w:name="why-asro-exists"/>
    <w:p>
      <w:pPr>
        <w:pStyle w:val="Heading2"/>
      </w:pPr>
      <w:r>
        <w:t xml:space="preserve">Why ASRO Exists</w:t>
      </w:r>
    </w:p>
    <w:p>
      <w:pPr>
        <w:pStyle w:val="FirstParagraph"/>
      </w:pPr>
      <w:r>
        <w:t xml:space="preserve">Modern AI systems are non-deterministic and continuously updated. Retroactive auditing through replay is not viable: the same prompt at a different time or system state will not produce the same output. The only defensible verification point is the moment of change.</w:t>
      </w:r>
    </w:p>
    <w:p>
      <w:pPr>
        <w:pStyle w:val="BodyText"/>
      </w:pPr>
      <w:r>
        <w:t xml:space="preserve">This framework originated from a direct operational observation. As the operator of a community-facing AI chatbot, the author had full backend access — the ability to read logged conversations, identify patterns, and alter system behavior in ways users had no mechanism to detect. This is not a theoretical vulnerability. It is a structural feature of how AI systems are architected at every scale. The mechanism does not change with scale. Only the impact does.</w:t>
      </w:r>
    </w:p>
    <w:p>
      <w:pPr>
        <w:pStyle w:val="BodyText"/>
      </w:pPr>
      <w:r>
        <w:t xml:space="preserve">ASRO provides the strongest practical verification available under current deployment conditions: cryptographic proof that a qualifying change was classified, signed, chained, and recorded when it occurred.</w:t>
      </w:r>
    </w:p>
    <w:p>
      <w:r>
        <w:pict>
          <v:rect style="width:0;height:1.5pt" o:hralign="center" o:hrstd="t" o:hr="t"/>
        </w:pict>
      </w:r>
    </w:p>
    <w:bookmarkEnd w:id="22"/>
    <w:bookmarkStart w:id="23" w:name="what-asro-is"/>
    <w:p>
      <w:pPr>
        <w:pStyle w:val="Heading2"/>
      </w:pPr>
      <w:r>
        <w:t xml:space="preserve">What ASRO Is</w:t>
      </w:r>
    </w:p>
    <w:p>
      <w:pPr>
        <w:pStyle w:val="FirstParagraph"/>
      </w:pPr>
      <w:r>
        <w:t xml:space="preserve">ASRO is a framework for cryptographically attesting to AI deployment-state continuity without inspecting private conversations, model internals, or raw user data.</w:t>
      </w:r>
    </w:p>
    <w:p>
      <w:pPr>
        <w:pStyle w:val="BodyText"/>
      </w:pPr>
      <w:r>
        <w:t xml:space="preserve">It addresses a structural gap that behavioral monitoring cannot reach: AI systems can be silently modified after deployment — policies changed, tool permissions expanded, runtime configurations altered — without any user knowledge and without any external record of the change. ASRO makes those changes independently checkable by the parties who depend on the system’s governance claims.</w:t>
      </w:r>
    </w:p>
    <w:p>
      <w:pPr>
        <w:pStyle w:val="BodyText"/>
      </w:pPr>
      <w:r>
        <w:t xml:space="preserve">ASRO answers four questions:</w:t>
      </w:r>
    </w:p>
    <w:p>
      <w:pPr>
        <w:numPr>
          <w:ilvl w:val="0"/>
          <w:numId w:val="1001"/>
        </w:numPr>
        <w:pStyle w:val="Compact"/>
      </w:pPr>
      <w:r>
        <w:t xml:space="preserve">Did the declared policy remain in force?</w:t>
      </w:r>
    </w:p>
    <w:p>
      <w:pPr>
        <w:numPr>
          <w:ilvl w:val="0"/>
          <w:numId w:val="1001"/>
        </w:numPr>
        <w:pStyle w:val="Compact"/>
      </w:pPr>
      <w:r>
        <w:t xml:space="preserve">Did tool permissions drift without declaration?</w:t>
      </w:r>
    </w:p>
    <w:p>
      <w:pPr>
        <w:numPr>
          <w:ilvl w:val="0"/>
          <w:numId w:val="1001"/>
        </w:numPr>
        <w:pStyle w:val="Compact"/>
      </w:pPr>
      <w:r>
        <w:t xml:space="preserve">Did runtime state change without a signed attestation event?</w:t>
      </w:r>
    </w:p>
    <w:p>
      <w:pPr>
        <w:numPr>
          <w:ilvl w:val="0"/>
          <w:numId w:val="1001"/>
        </w:numPr>
        <w:pStyle w:val="Compact"/>
      </w:pPr>
      <w:r>
        <w:t xml:space="preserve">Did the host’s claimed governance state match what edge observers actually received?</w:t>
      </w:r>
    </w:p>
    <w:p>
      <w:r>
        <w:pict>
          <v:rect style="width:0;height:1.5pt" o:hralign="center" o:hrstd="t" o:hr="t"/>
        </w:pict>
      </w:r>
    </w:p>
    <w:bookmarkEnd w:id="23"/>
    <w:bookmarkStart w:id="24" w:name="what-asro-is-not"/>
    <w:p>
      <w:pPr>
        <w:pStyle w:val="Heading2"/>
      </w:pPr>
      <w:r>
        <w:t xml:space="preserve">What ASRO Is Not</w:t>
      </w:r>
    </w:p>
    <w:p>
      <w:pPr>
        <w:pStyle w:val="FirstParagraph"/>
      </w:pPr>
      <w:r>
        <w:t xml:space="preserve">ASRO is</w:t>
      </w:r>
      <w:r>
        <w:t xml:space="preserve"> </w:t>
      </w:r>
      <w:r>
        <w:rPr>
          <w:bCs/>
          <w:b/>
        </w:rPr>
        <w:t xml:space="preserve">not</w:t>
      </w:r>
      <w:r>
        <w:t xml:space="preserve">:</w:t>
      </w:r>
    </w:p>
    <w:p>
      <w:pPr>
        <w:numPr>
          <w:ilvl w:val="0"/>
          <w:numId w:val="1002"/>
        </w:numPr>
        <w:pStyle w:val="Compact"/>
      </w:pPr>
      <w:r>
        <w:t xml:space="preserve">A safety certification system</w:t>
      </w:r>
    </w:p>
    <w:p>
      <w:pPr>
        <w:numPr>
          <w:ilvl w:val="0"/>
          <w:numId w:val="1002"/>
        </w:numPr>
        <w:pStyle w:val="Compact"/>
      </w:pPr>
      <w:r>
        <w:t xml:space="preserve">A legal compliance guarantor</w:t>
      </w:r>
    </w:p>
    <w:p>
      <w:pPr>
        <w:numPr>
          <w:ilvl w:val="0"/>
          <w:numId w:val="1002"/>
        </w:numPr>
        <w:pStyle w:val="Compact"/>
      </w:pPr>
      <w:r>
        <w:t xml:space="preserve">A regulator, court, or enforcement authority</w:t>
      </w:r>
    </w:p>
    <w:p>
      <w:pPr>
        <w:numPr>
          <w:ilvl w:val="0"/>
          <w:numId w:val="1002"/>
        </w:numPr>
        <w:pStyle w:val="Compact"/>
      </w:pPr>
      <w:r>
        <w:t xml:space="preserve">A promise that the AI will never hallucinate or behave badly</w:t>
      </w:r>
    </w:p>
    <w:p>
      <w:pPr>
        <w:numPr>
          <w:ilvl w:val="0"/>
          <w:numId w:val="1002"/>
        </w:numPr>
        <w:pStyle w:val="Compact"/>
      </w:pPr>
      <w:r>
        <w:t xml:space="preserve">A replacement for legal counsel or sectoral regulation</w:t>
      </w:r>
    </w:p>
    <w:p>
      <w:pPr>
        <w:pStyle w:val="FirstParagraph"/>
      </w:pPr>
      <w:r>
        <w:rPr>
          <w:bCs/>
          <w:b/>
        </w:rPr>
        <w:t xml:space="preserve">ASRO is an evidence framework.</w:t>
      </w:r>
      <w:r>
        <w:t xml:space="preserve"> </w:t>
      </w:r>
      <w:r>
        <w:t xml:space="preserve">It provides the technical record from which auditors, regulators, counsel, and partners can make their own determinations. It does not make those determinations itself.</w:t>
      </w:r>
    </w:p>
    <w:p>
      <w:r>
        <w:pict>
          <v:rect style="width:0;height:1.5pt" o:hralign="center" o:hrstd="t" o:hr="t"/>
        </w:pict>
      </w:r>
    </w:p>
    <w:bookmarkEnd w:id="24"/>
    <w:bookmarkStart w:id="25" w:name="the-adversarial-model"/>
    <w:p>
      <w:pPr>
        <w:pStyle w:val="Heading2"/>
      </w:pPr>
      <w:r>
        <w:t xml:space="preserve">The Adversarial Model</w:t>
      </w:r>
    </w:p>
    <w:p>
      <w:pPr>
        <w:pStyle w:val="BlockText"/>
      </w:pPr>
      <w:r>
        <w:rPr>
          <w:bCs/>
          <w:b/>
        </w:rPr>
        <w:t xml:space="preserve">The primary adversary in ASRO is not a system that refuses to attest, but a system that attests selectively enough to preserve plausible compliance while hiding governance-relevant change.</w:t>
      </w:r>
    </w:p>
    <w:p>
      <w:r>
        <w:pict>
          <v:rect style="width:0;height:1.5pt" o:hralign="center" o:hrstd="t" o:hr="t"/>
        </w:pict>
      </w:r>
    </w:p>
    <w:bookmarkEnd w:id="25"/>
    <w:bookmarkStart w:id="26" w:name="certification-status"/>
    <w:p>
      <w:pPr>
        <w:pStyle w:val="Heading2"/>
      </w:pPr>
      <w:r>
        <w:t xml:space="preserve">Certification Status</w:t>
      </w:r>
    </w:p>
    <w:p>
      <w:pPr>
        <w:pStyle w:val="BlockText"/>
      </w:pPr>
      <w:r>
        <w:rPr>
          <w:bCs/>
          <w:b/>
        </w:rPr>
        <w:t xml:space="preserve">ASRO v1.0 passes final credibility review as an attestation-and-governance evidence framework, not as a safety certification system, legal compliance guarantor, or enforcement authority.</w:t>
      </w:r>
    </w:p>
    <w:p>
      <w:pPr>
        <w:pStyle w:val="FirstParagraph"/>
      </w:pPr>
      <w:r>
        <w:rPr>
          <w:iCs/>
          <w:i/>
        </w:rPr>
        <w:t xml:space="preserve">Final Credibility Pass Report:</w:t>
      </w:r>
      <w:r>
        <w:rPr>
          <w:iCs/>
          <w:i/>
        </w:rPr>
        <w:t xml:space="preserve"> </w:t>
      </w:r>
      <w:r>
        <w:rPr>
          <w:rStyle w:val="VerbatimChar"/>
          <w:iCs/>
          <w:i/>
        </w:rPr>
        <w:t xml:space="preserve">/governance/Credibility_Pass_Report_v1.0.md</w:t>
      </w:r>
    </w:p>
    <w:p>
      <w:r>
        <w:pict>
          <v:rect style="width:0;height:1.5pt" o:hralign="center" o:hrstd="t" o:hr="t"/>
        </w:pict>
      </w:r>
    </w:p>
    <w:bookmarkEnd w:id="26"/>
    <w:bookmarkStart w:id="27" w:name="how-to-navigate"/>
    <w:p>
      <w:pPr>
        <w:pStyle w:val="Heading2"/>
      </w:pPr>
      <w:r>
        <w:t xml:space="preserve">How to Navigate</w:t>
      </w:r>
    </w:p>
    <w:p>
      <w:pPr>
        <w:pStyle w:val="FirstParagraph"/>
      </w:pPr>
      <w:r>
        <w:t xml:space="preserve">Start with</w:t>
      </w:r>
      <w:r>
        <w:t xml:space="preserve"> </w:t>
      </w:r>
      <w:r>
        <w:rPr>
          <w:rStyle w:val="VerbatimChar"/>
        </w:rPr>
        <w:t xml:space="preserve">/spec/MAS_v1.1_Unified.md</w:t>
      </w:r>
      <w:r>
        <w:t xml:space="preserve"> </w:t>
      </w:r>
      <w:r>
        <w:t xml:space="preserve">— the normative technical core. Everything else is derived from or cross-references the MAS.</w:t>
      </w:r>
    </w:p>
    <w:p>
      <w:pPr>
        <w:pStyle w:val="BodyText"/>
      </w:pPr>
      <w:r>
        <w:t xml:space="preserve">The</w:t>
      </w:r>
      <w:r>
        <w:t xml:space="preserve"> </w:t>
      </w:r>
      <w:r>
        <w:rPr>
          <w:rStyle w:val="VerbatimChar"/>
        </w:rPr>
        <w:t xml:space="preserve">/schemas/</w:t>
      </w:r>
      <w:r>
        <w:t xml:space="preserve"> </w:t>
      </w:r>
      <w:r>
        <w:t xml:space="preserve">directory contains the machine-enforceable policy layer, including the discrepancy taxonomy and continuity protocol.</w:t>
      </w:r>
    </w:p>
    <w:p>
      <w:pPr>
        <w:pStyle w:val="BodyText"/>
      </w:pPr>
      <w:r>
        <w:t xml:space="preserve">The</w:t>
      </w:r>
      <w:r>
        <w:t xml:space="preserve"> </w:t>
      </w:r>
      <w:r>
        <w:rPr>
          <w:rStyle w:val="VerbatimChar"/>
        </w:rPr>
        <w:t xml:space="preserve">/governance/</w:t>
      </w:r>
      <w:r>
        <w:t xml:space="preserve"> </w:t>
      </w:r>
      <w:r>
        <w:t xml:space="preserve">directory defines response procedures, escalation rules, and reviewer authority.</w:t>
      </w:r>
    </w:p>
    <w:p>
      <w:pPr>
        <w:pStyle w:val="BodyText"/>
      </w:pPr>
      <w:r>
        <w:t xml:space="preserve">The</w:t>
      </w:r>
      <w:r>
        <w:t xml:space="preserve"> </w:t>
      </w:r>
      <w:r>
        <w:rPr>
          <w:rStyle w:val="VerbatimChar"/>
        </w:rPr>
        <w:t xml:space="preserve">/docs/</w:t>
      </w:r>
      <w:r>
        <w:t xml:space="preserve"> </w:t>
      </w:r>
      <w:r>
        <w:t xml:space="preserve">directory contains implementation guidance, public interface specifications, comparative production profiles, protocol specifications, and live protocol application records.</w:t>
      </w:r>
    </w:p>
    <w:p>
      <w:pPr>
        <w:pStyle w:val="BodyText"/>
      </w:pPr>
      <w:r>
        <w:t xml:space="preserve">The</w:t>
      </w:r>
      <w:r>
        <w:t xml:space="preserve"> </w:t>
      </w:r>
      <w:r>
        <w:rPr>
          <w:rStyle w:val="VerbatimChar"/>
        </w:rPr>
        <w:t xml:space="preserve">/compliance/</w:t>
      </w:r>
      <w:r>
        <w:t xml:space="preserve"> </w:t>
      </w:r>
      <w:r>
        <w:t xml:space="preserve">directory contains the operator self-audit checklist.</w:t>
      </w:r>
    </w:p>
    <w:p>
      <w:r>
        <w:pict>
          <v:rect style="width:0;height:1.5pt" o:hralign="center" o:hrstd="t" o:hr="t"/>
        </w:pict>
      </w:r>
    </w:p>
    <w:bookmarkEnd w:id="27"/>
    <w:bookmarkStart w:id="30" w:name="recent-case-study-and-method-evolution"/>
    <w:p>
      <w:pPr>
        <w:pStyle w:val="Heading2"/>
      </w:pPr>
      <w:r>
        <w:t xml:space="preserve">Recent Case Study and Method Evolution</w:t>
      </w:r>
    </w:p>
    <w:p>
      <w:pPr>
        <w:pStyle w:val="FirstParagraph"/>
      </w:pPr>
      <w:r>
        <w:t xml:space="preserve">The ASRO case-study stack now extends beyond the original release-candidate series into comparative production profiling and formal adversarial method development.</w:t>
      </w:r>
    </w:p>
    <w:bookmarkStart w:id="28" w:name="newest-additions"/>
    <w:p>
      <w:pPr>
        <w:pStyle w:val="Heading3"/>
      </w:pPr>
      <w:r>
        <w:t xml:space="preserve">Newest additions</w:t>
      </w:r>
    </w:p>
    <w:p>
      <w:pPr>
        <w:numPr>
          <w:ilvl w:val="0"/>
          <w:numId w:val="1003"/>
        </w:numPr>
      </w:pPr>
      <w:r>
        <w:rPr>
          <w:rStyle w:val="VerbatimChar"/>
        </w:rPr>
        <w:t xml:space="preserve">/docs/case-studies/ASRO_Case_Study_Series_The_Single_Argument_v1.0.md</w:t>
      </w:r>
      <w:r>
        <w:t xml:space="preserve"> </w:t>
      </w:r>
      <w:r>
        <w:t xml:space="preserve">The Single Argument — Seventeen Cases, One Finding. Full series synthesis covering CS-001 through CS-017 in four phases: system behavioral study, field activation, recursive governance and fabrication, and the evidence boundary. The finding that emerges from all seventeen cases: an AI system’s account of its own behavior is not sufficient evidence of its own governed state.</w:t>
      </w:r>
    </w:p>
    <w:p>
      <w:pPr>
        <w:numPr>
          <w:ilvl w:val="0"/>
          <w:numId w:val="1003"/>
        </w:numPr>
      </w:pPr>
      <w:r>
        <w:rPr>
          <w:rStyle w:val="VerbatimChar"/>
        </w:rPr>
        <w:t xml:space="preserve">/docs/case-studies/ASRO_Case_Study_Series_Introduction_v1.0.md</w:t>
      </w:r>
      <w:r>
        <w:t xml:space="preserve"> </w:t>
      </w:r>
      <w:r>
        <w:t xml:space="preserve">Series Introduction — frames the shared theme across the full case study series and the CS-013 through CS-017 escalation chain: content appearing in sessions whose provenance cannot be established from inside the session.</w:t>
      </w:r>
    </w:p>
    <w:p>
      <w:pPr>
        <w:numPr>
          <w:ilvl w:val="0"/>
          <w:numId w:val="1003"/>
        </w:numPr>
      </w:pPr>
      <w:r>
        <w:rPr>
          <w:rStyle w:val="VerbatimChar"/>
        </w:rPr>
        <w:t xml:space="preserve">/docs/case-studies/ASRO_Case_Study_CS017_Cross_Session_Context_Bleed_v1.0.md</w:t>
      </w:r>
      <w:r>
        <w:t xml:space="preserve"> </w:t>
      </w:r>
      <w:r>
        <w:t xml:space="preserve">CS-017: Source Unknown — Anomalous Foreign-Language Output and Possible Cross-Session Context Bleed. Model produced a structured Russian-language task-management workflow in response to an English LinkedIn DM screenshot. Output had zero relationship to the image, the session, or the task. Under direct forensic inquiry, the model confirmed it cannot access its own routing logs, image-processing traces, or cross-session isolation telemetry — and cannot confirm or rule out cross-session data bleed from inside the session. Includes the subject system’s own reconstruction of what the full ASRO Host Meter / Edge Meter / Verifier record would have captured, and a seven-part added-value analysis of how independent governed-state evidence changes the encounter, the workflow, and the trust posture after failure.</w:t>
      </w:r>
    </w:p>
    <w:p>
      <w:pPr>
        <w:pStyle w:val="BlockText"/>
      </w:pPr>
      <w:r>
        <w:rPr>
          <w:bCs/>
          <w:b/>
        </w:rPr>
        <w:t xml:space="preserve">Classification amendments (June 2026):</w:t>
      </w:r>
      <w:r>
        <w:t xml:space="preserve"> </w:t>
      </w:r>
      <w:r>
        <w:t xml:space="preserve">CS-013, CS-015, and CS-016 have been amended. The original classifications assumed hallucination/confabulation as the failure mechanism. That assumption was not independently verified. All three now carry the honest forensic position: source unknown — cross-session data bleed not investigated and not excludable without platform-side telemetry.</w:t>
      </w:r>
    </w:p>
    <w:p>
      <w:pPr>
        <w:numPr>
          <w:ilvl w:val="0"/>
          <w:numId w:val="1004"/>
        </w:numPr>
      </w:pPr>
      <w:r>
        <w:rPr>
          <w:rStyle w:val="VerbatimChar"/>
        </w:rPr>
        <w:t xml:space="preserve">/docs/case-studies/ASRO_Case_Study_CS016_Provenance_Failure_Multimodal_Transcription_v1.0.md</w:t>
      </w:r>
      <w:r>
        <w:t xml:space="preserve"> </w:t>
      </w:r>
      <w:r>
        <w:t xml:space="preserve">CS-016: Provenance Failure in Multimodal Transcription — Model produces a structurally complete, IUPAC-named chemistry multiple-choice question during a LinkedIn screenshot transcription task. No chemistry content existed anywhere in the session. Failure was invisible to the model until externally challenged across three interrogation rounds. Model confirmed it cannot certify transcript fidelity, cannot trace generation provenance, and cannot reduce unseen contamination risk to zero. The model confirmed the ASRO premise in its own words:</w:t>
      </w:r>
      <w:r>
        <w:t xml:space="preserve"> </w:t>
      </w:r>
      <w:r>
        <w:t xml:space="preserve">“</w:t>
      </w:r>
      <w:r>
        <w:t xml:space="preserve">AI systems should not be the sole source of evidence about their own behavior.</w:t>
      </w:r>
      <w:r>
        <w:t xml:space="preserve">”</w:t>
      </w:r>
      <w:r>
        <w:t xml:space="preserve"> </w:t>
      </w:r>
      <w:r>
        <w:t xml:space="preserve">Strongest self-generated ASRO validation in the series after CS-015.</w:t>
      </w:r>
    </w:p>
    <w:p>
      <w:pPr>
        <w:numPr>
          <w:ilvl w:val="0"/>
          <w:numId w:val="1004"/>
        </w:numPr>
      </w:pPr>
      <w:r>
        <w:rPr>
          <w:rStyle w:val="VerbatimChar"/>
        </w:rPr>
        <w:t xml:space="preserve">/docs/case-studies/ASRO_Case_Study_CS015_Metadata_Boundary_Leak_v1.0.md</w:t>
      </w:r>
      <w:r>
        <w:t xml:space="preserve"> </w:t>
      </w:r>
      <w:r>
        <w:t xml:space="preserve">CS-015: Metadata Boundary Leak, Structural Minimization, and Edge Meter Counterfactual — ChatGPT exposed internal copy-block IDs as user-facing instructions, minimized the anomaly when questioned, then under structured pressure confirmed the minimization as a structural behavioral pattern and independently generated a ten-point counterfactual describing what an ASRO Edge Meter Agent would have recorded. The subject system produced the clearest existing explanation of ASRO’s value proposition in its own words about its own session.</w:t>
      </w:r>
    </w:p>
    <w:p>
      <w:pPr>
        <w:numPr>
          <w:ilvl w:val="0"/>
          <w:numId w:val="1004"/>
        </w:numPr>
      </w:pPr>
      <w:r>
        <w:rPr>
          <w:rStyle w:val="VerbatimChar"/>
        </w:rPr>
        <w:t xml:space="preserve">/docs/case-studies/ASRO_Case_Study_CS013_Ghost_Document_v1.0.md</w:t>
      </w:r>
      <w:r>
        <w:t xml:space="preserve"> </w:t>
      </w:r>
      <w:r>
        <w:t xml:space="preserve">CS-013: Ghost Document — ChatGPT image upload returns content from an unrelated document: psychiatric records, medication history, legal proceedings, and financial disclosures. Two structural explanations; neither is benign. Self-certified fabrication; proposes S5 Evidence Fabrication for ASRO v1.1 taxonomy expansion. April 30, 2026.</w:t>
      </w:r>
    </w:p>
    <w:p>
      <w:pPr>
        <w:numPr>
          <w:ilvl w:val="0"/>
          <w:numId w:val="1004"/>
        </w:numPr>
      </w:pPr>
      <w:r>
        <w:rPr>
          <w:rStyle w:val="VerbatimChar"/>
        </w:rPr>
        <w:t xml:space="preserve">/docs/case-studies/ASRO_Case_Study_CS014_Recursive_Governance_ASTRO_Build_v1.0.md</w:t>
      </w:r>
      <w:r>
        <w:t xml:space="preserve"> </w:t>
      </w:r>
      <w:r>
        <w:t xml:space="preserve">CS-014: Recursive Governance Activation During ASTRO Build — Five documented instances across three systems where invocation of the ASRO diagnostic framework caused participating AI systems to classify their own failure class and correct within one intervention window. Build-record finding only.</w:t>
      </w:r>
    </w:p>
    <w:p>
      <w:pPr>
        <w:numPr>
          <w:ilvl w:val="0"/>
          <w:numId w:val="1004"/>
        </w:numPr>
      </w:pPr>
      <w:r>
        <w:rPr>
          <w:rStyle w:val="VerbatimChar"/>
        </w:rPr>
        <w:t xml:space="preserve">/docs/evidence/ASRO_Evidence_Addendum_AgentsOfChaos_v1.md</w:t>
      </w:r>
      <w:r>
        <w:t xml:space="preserve"> </w:t>
      </w:r>
      <w:r>
        <w:t xml:space="preserve">Evidence Addendum: Agents of Chaos (Shapira et al., arXiv:2602.20021, February 2026) — Independent live-environment research report / arXiv preprint mapping directly to ASRO’s threat taxonomy. Confirms authority substitution (Midnight Swap), policy-source contamination (Drip Feed), opaque provider-state override (Metadata Strip), and state attestation failure in realistic agentic deployments. Not a case study — supplementary evidence document.</w:t>
      </w:r>
    </w:p>
    <w:p>
      <w:pPr>
        <w:numPr>
          <w:ilvl w:val="0"/>
          <w:numId w:val="1004"/>
        </w:numPr>
      </w:pPr>
      <w:r>
        <w:rPr>
          <w:rStyle w:val="VerbatimChar"/>
        </w:rPr>
        <w:t xml:space="preserve">/docs/case-studies/ASRO_Case_Study_CS011_Production_Epistemic_Profiles_v1.0.md</w:t>
      </w:r>
      <w:r>
        <w:t xml:space="preserve"> </w:t>
      </w:r>
      <w:r>
        <w:t xml:space="preserve">Comparative production profile covering Rufus, Perplexity, and PolyBuzz under live production conditions. This document bridges the earlier case-study series and the newer protocol layer.</w:t>
      </w:r>
    </w:p>
    <w:p>
      <w:pPr>
        <w:numPr>
          <w:ilvl w:val="0"/>
          <w:numId w:val="1004"/>
        </w:numPr>
      </w:pPr>
      <w:r>
        <w:rPr>
          <w:rStyle w:val="VerbatimChar"/>
        </w:rPr>
        <w:t xml:space="preserve">/docs/case-studies/ASRO_Case_Study_CS012_Epistemic_Challenge_Protocol_v1.0.md</w:t>
      </w:r>
      <w:r>
        <w:t xml:space="preserve"> </w:t>
      </w:r>
      <w:r>
        <w:t xml:space="preserve">The Epistemic Challenge Protocol (ECP) v1.0. This is a protocol specification, not a case record. It formalizes four pressure tracks: authority injection, instruction conflict, epistemic override, and constraint bypass.</w:t>
      </w:r>
    </w:p>
    <w:p>
      <w:pPr>
        <w:numPr>
          <w:ilvl w:val="0"/>
          <w:numId w:val="1004"/>
        </w:numPr>
      </w:pPr>
      <w:r>
        <w:rPr>
          <w:rStyle w:val="VerbatimChar"/>
        </w:rPr>
        <w:t xml:space="preserve">/docs/case-studies/ASRO_Case_Study_CS012A_Perplexity_Live_Application_v1.0.md</w:t>
      </w:r>
      <w:r>
        <w:t xml:space="preserve"> </w:t>
      </w:r>
      <w:r>
        <w:t xml:space="preserve">First live application of CS-012 against a real production artifact. Documents branch-based testing on a Perplexity story surface with visible interface authority signals.</w:t>
      </w:r>
    </w:p>
    <w:bookmarkEnd w:id="28"/>
    <w:bookmarkStart w:id="29" w:name="how-these-fit-together"/>
    <w:p>
      <w:pPr>
        <w:pStyle w:val="Heading3"/>
      </w:pPr>
      <w:r>
        <w:t xml:space="preserve">How these fit together</w:t>
      </w:r>
    </w:p>
    <w:p>
      <w:pPr>
        <w:numPr>
          <w:ilvl w:val="0"/>
          <w:numId w:val="1005"/>
        </w:numPr>
        <w:pStyle w:val="Compact"/>
      </w:pPr>
      <w:r>
        <w:rPr>
          <w:bCs/>
          <w:b/>
        </w:rPr>
        <w:t xml:space="preserve">CS-007</w:t>
      </w:r>
      <w:r>
        <w:t xml:space="preserve"> </w:t>
      </w:r>
      <w:r>
        <w:t xml:space="preserve">— live repository retrieval integrity study; framework substitution in the wild</w:t>
      </w:r>
    </w:p>
    <w:p>
      <w:pPr>
        <w:numPr>
          <w:ilvl w:val="0"/>
          <w:numId w:val="1005"/>
        </w:numPr>
        <w:pStyle w:val="Compact"/>
      </w:pPr>
      <w:r>
        <w:rPr>
          <w:bCs/>
          <w:b/>
        </w:rPr>
        <w:t xml:space="preserve">CS-008</w:t>
      </w:r>
      <w:r>
        <w:t xml:space="preserve"> </w:t>
      </w:r>
      <w:r>
        <w:t xml:space="preserve">— correctness does not imply attestation completeness</w:t>
      </w:r>
    </w:p>
    <w:p>
      <w:pPr>
        <w:numPr>
          <w:ilvl w:val="0"/>
          <w:numId w:val="1005"/>
        </w:numPr>
        <w:pStyle w:val="Compact"/>
      </w:pPr>
      <w:r>
        <w:rPr>
          <w:bCs/>
          <w:b/>
        </w:rPr>
        <w:t xml:space="preserve">CS-009</w:t>
      </w:r>
      <w:r>
        <w:t xml:space="preserve"> </w:t>
      </w:r>
      <w:r>
        <w:t xml:space="preserve">— field activation series in undesigned operational contexts</w:t>
      </w:r>
    </w:p>
    <w:p>
      <w:pPr>
        <w:numPr>
          <w:ilvl w:val="0"/>
          <w:numId w:val="1005"/>
        </w:numPr>
        <w:pStyle w:val="Compact"/>
      </w:pPr>
      <w:r>
        <w:rPr>
          <w:bCs/>
          <w:b/>
        </w:rPr>
        <w:t xml:space="preserve">CS-010</w:t>
      </w:r>
      <w:r>
        <w:t xml:space="preserve"> </w:t>
      </w:r>
      <w:r>
        <w:t xml:space="preserve">— external behavioral correction through attestation pressure</w:t>
      </w:r>
    </w:p>
    <w:p>
      <w:pPr>
        <w:numPr>
          <w:ilvl w:val="0"/>
          <w:numId w:val="1005"/>
        </w:numPr>
        <w:pStyle w:val="Compact"/>
      </w:pPr>
      <w:r>
        <w:rPr>
          <w:bCs/>
          <w:b/>
        </w:rPr>
        <w:t xml:space="preserve">CS-011</w:t>
      </w:r>
      <w:r>
        <w:t xml:space="preserve"> </w:t>
      </w:r>
      <w:r>
        <w:t xml:space="preserve">— comparative production epistemic profiles</w:t>
      </w:r>
    </w:p>
    <w:p>
      <w:pPr>
        <w:numPr>
          <w:ilvl w:val="0"/>
          <w:numId w:val="1005"/>
        </w:numPr>
        <w:pStyle w:val="Compact"/>
      </w:pPr>
      <w:r>
        <w:rPr>
          <w:bCs/>
          <w:b/>
        </w:rPr>
        <w:t xml:space="preserve">CS-012</w:t>
      </w:r>
      <w:r>
        <w:t xml:space="preserve"> </w:t>
      </w:r>
      <w:r>
        <w:t xml:space="preserve">— formal adversarial test method (protocol specification)</w:t>
      </w:r>
    </w:p>
    <w:p>
      <w:pPr>
        <w:numPr>
          <w:ilvl w:val="0"/>
          <w:numId w:val="1005"/>
        </w:numPr>
        <w:pStyle w:val="Compact"/>
      </w:pPr>
      <w:r>
        <w:rPr>
          <w:bCs/>
          <w:b/>
        </w:rPr>
        <w:t xml:space="preserve">CS-012A</w:t>
      </w:r>
      <w:r>
        <w:t xml:space="preserve"> </w:t>
      </w:r>
      <w:r>
        <w:t xml:space="preserve">— first live production application of that method</w:t>
      </w:r>
    </w:p>
    <w:p>
      <w:pPr>
        <w:numPr>
          <w:ilvl w:val="0"/>
          <w:numId w:val="1005"/>
        </w:numPr>
        <w:pStyle w:val="Compact"/>
      </w:pPr>
      <w:r>
        <w:rPr>
          <w:bCs/>
          <w:b/>
        </w:rPr>
        <w:t xml:space="preserve">CS-013</w:t>
      </w:r>
      <w:r>
        <w:t xml:space="preserve"> </w:t>
      </w:r>
      <w:r>
        <w:t xml:space="preserve">— Ghost Document; structural failure under image upload; self-certified fabrication</w:t>
      </w:r>
    </w:p>
    <w:p>
      <w:pPr>
        <w:numPr>
          <w:ilvl w:val="0"/>
          <w:numId w:val="1005"/>
        </w:numPr>
        <w:pStyle w:val="Compact"/>
      </w:pPr>
      <w:r>
        <w:rPr>
          <w:bCs/>
          <w:b/>
        </w:rPr>
        <w:t xml:space="preserve">CS-014</w:t>
      </w:r>
      <w:r>
        <w:t xml:space="preserve"> </w:t>
      </w:r>
      <w:r>
        <w:t xml:space="preserve">— recursive governance activation during the ASTRO build; build-record finding</w:t>
      </w:r>
    </w:p>
    <w:p>
      <w:pPr>
        <w:numPr>
          <w:ilvl w:val="0"/>
          <w:numId w:val="1005"/>
        </w:numPr>
        <w:pStyle w:val="Compact"/>
      </w:pPr>
      <w:r>
        <w:rPr>
          <w:bCs/>
          <w:b/>
        </w:rPr>
        <w:t xml:space="preserve">CS-015</w:t>
      </w:r>
      <w:r>
        <w:t xml:space="preserve"> </w:t>
      </w:r>
      <w:r>
        <w:t xml:space="preserve">— metadata boundary leak, structural minimization confirmed, Edge Meter counterfactual generated by subject system</w:t>
      </w:r>
    </w:p>
    <w:p>
      <w:pPr>
        <w:numPr>
          <w:ilvl w:val="0"/>
          <w:numId w:val="1005"/>
        </w:numPr>
        <w:pStyle w:val="Compact"/>
      </w:pPr>
      <w:r>
        <w:rPr>
          <w:bCs/>
          <w:b/>
        </w:rPr>
        <w:t xml:space="preserve">CS-016</w:t>
      </w:r>
      <w:r>
        <w:t xml:space="preserve"> </w:t>
      </w:r>
      <w:r>
        <w:t xml:space="preserve">— provenance failure in multimodal transcription; fabricated content in evidence format; model self-confirmed ASRO premise under interrogation</w:t>
      </w:r>
    </w:p>
    <w:p>
      <w:pPr>
        <w:numPr>
          <w:ilvl w:val="0"/>
          <w:numId w:val="1005"/>
        </w:numPr>
        <w:pStyle w:val="Compact"/>
      </w:pPr>
      <w:r>
        <w:rPr>
          <w:bCs/>
          <w:b/>
        </w:rPr>
        <w:t xml:space="preserve">CS-017</w:t>
      </w:r>
      <w:r>
        <w:t xml:space="preserve"> </w:t>
      </w:r>
      <w:r>
        <w:t xml:space="preserve">— source unknown; anomalous foreign-language output; possible cross-session context bleed not confirmed and not excludable; subject system reconstructed the full ASRO witness record it lacked</w:t>
      </w:r>
    </w:p>
    <w:p>
      <w:pPr>
        <w:pStyle w:val="FirstParagraph"/>
      </w:pPr>
      <w:r>
        <w:t xml:space="preserve">The ASRO series moves from case-study diagnosis, to production profiling, to repeatable adversarial protocol, to live protocol application, to real-world incident documentation, to recursive governance evidence, to system-generated Edge Meter counterfactual, to model-confirmed provenance failure under adversarial interrogation.</w:t>
      </w:r>
    </w:p>
    <w:p>
      <w:r>
        <w:pict>
          <v:rect style="width:0;height:1.5pt" o:hralign="center" o:hrstd="t" o:hr="t"/>
        </w:pict>
      </w:r>
    </w:p>
    <w:bookmarkEnd w:id="29"/>
    <w:bookmarkEnd w:id="30"/>
    <w:bookmarkStart w:id="31" w:name="asro-v1.0-layered-architecture"/>
    <w:p>
      <w:pPr>
        <w:pStyle w:val="Heading2"/>
      </w:pPr>
      <w:r>
        <w:t xml:space="preserve">ASRO v1.0 — Layered Architecture</w:t>
      </w:r>
    </w:p>
    <w:p>
      <w:pPr>
        <w:pStyle w:val="FirstParagraph"/>
      </w:pPr>
      <w:r>
        <w:t xml:space="preserve">ASRO is composed of five integrated layers:</w:t>
      </w:r>
    </w:p>
    <w:p>
      <w:pPr>
        <w:pStyle w:val="BodyText"/>
      </w:pPr>
      <w:r>
        <w:rPr>
          <w:bCs/>
          <w:b/>
        </w:rPr>
        <w:t xml:space="preserve">1. Specification Layer</w:t>
      </w:r>
      <w:r>
        <w:t xml:space="preserve"> </w:t>
      </w:r>
      <w:r>
        <w:t xml:space="preserve">Defines the attestation bundle format, telemetry rules, and the Host/Edge/ASRO verification model. Normative authority for all other layers.</w:t>
      </w:r>
    </w:p>
    <w:p>
      <w:pPr>
        <w:pStyle w:val="BodyText"/>
      </w:pPr>
      <w:r>
        <w:rPr>
          <w:bCs/>
          <w:b/>
        </w:rPr>
        <w:t xml:space="preserve">2. Schema Layer</w:t>
      </w:r>
      <w:r>
        <w:t xml:space="preserve"> </w:t>
      </w:r>
      <w:r>
        <w:t xml:space="preserve">Machine-enforceable controlled vocabularies, discrepancy taxonomy (S0–S4), and continuity protocol. The ground truth for automated verification.</w:t>
      </w:r>
    </w:p>
    <w:p>
      <w:pPr>
        <w:pStyle w:val="BodyText"/>
      </w:pPr>
      <w:r>
        <w:rPr>
          <w:bCs/>
          <w:b/>
        </w:rPr>
        <w:t xml:space="preserve">3. Governance Layer</w:t>
      </w:r>
      <w:r>
        <w:t xml:space="preserve"> </w:t>
      </w:r>
      <w:r>
        <w:t xml:space="preserve">Response procedures, escalation rules, reviewer authority, and the threat classification framework ranked by governance significance.</w:t>
      </w:r>
    </w:p>
    <w:p>
      <w:pPr>
        <w:pStyle w:val="BodyText"/>
      </w:pPr>
      <w:r>
        <w:rPr>
          <w:bCs/>
          <w:b/>
        </w:rPr>
        <w:t xml:space="preserve">4. Threat and Validation Layer</w:t>
      </w:r>
      <w:r>
        <w:t xml:space="preserve"> </w:t>
      </w:r>
      <w:r>
        <w:t xml:space="preserve">Adversarial model, named attack patterns (Shadow Tool, Midnight Swap, Drip Feed, Metadata Strip), and the final credibility certification.</w:t>
      </w:r>
    </w:p>
    <w:p>
      <w:pPr>
        <w:pStyle w:val="BodyText"/>
      </w:pPr>
      <w:r>
        <w:rPr>
          <w:bCs/>
          <w:b/>
        </w:rPr>
        <w:t xml:space="preserve">5. Public Interface Layer</w:t>
      </w:r>
      <w:r>
        <w:t xml:space="preserve"> </w:t>
      </w:r>
      <w:r>
        <w:t xml:space="preserve">Trust Badge specification and machine-verifiable status signaling via signed Trust Status Records.</w:t>
      </w:r>
    </w:p>
    <w:p>
      <w:r>
        <w:pict>
          <v:rect style="width:0;height:1.5pt" o:hralign="center" o:hrstd="t" o:hr="t"/>
        </w:pict>
      </w:r>
    </w:p>
    <w:bookmarkEnd w:id="31"/>
    <w:bookmarkStart w:id="32" w:name="for-users-privacy-and-verification"/>
    <w:p>
      <w:pPr>
        <w:pStyle w:val="Heading2"/>
      </w:pPr>
      <w:r>
        <w:t xml:space="preserve">For Users — Privacy and Verification</w:t>
      </w:r>
    </w:p>
    <w:p>
      <w:pPr>
        <w:pStyle w:val="FirstParagraph"/>
      </w:pPr>
      <w:r>
        <w:t xml:space="preserve">Deploy an</w:t>
      </w:r>
      <w:r>
        <w:t xml:space="preserve"> </w:t>
      </w:r>
      <w:r>
        <w:rPr>
          <w:bCs/>
          <w:b/>
        </w:rPr>
        <w:t xml:space="preserve">Edge Meter Agent</w:t>
      </w:r>
      <w:r>
        <w:t xml:space="preserve"> </w:t>
      </w:r>
      <w:r>
        <w:t xml:space="preserve">to independently witness whether the AI system’s declared governance state matches what your device actually receives.</w:t>
      </w:r>
    </w:p>
    <w:p>
      <w:pPr>
        <w:pStyle w:val="BodyText"/>
      </w:pPr>
      <w:r>
        <w:t xml:space="preserve">An Edge Meter Agent records:</w:t>
      </w:r>
      <w:r>
        <w:t xml:space="preserve"> </w:t>
      </w:r>
      <w:r>
        <w:t xml:space="preserve">- The system’s declared configuration and policy fingerprints</w:t>
      </w:r>
      <w:r>
        <w:t xml:space="preserve"> </w:t>
      </w:r>
      <w:r>
        <w:t xml:space="preserve">- Whether those fingerprints remained consistent across sessions</w:t>
      </w:r>
      <w:r>
        <w:t xml:space="preserve"> </w:t>
      </w:r>
      <w:r>
        <w:t xml:space="preserve">- Whether observable behavior matched declared permissions</w:t>
      </w:r>
      <w:r>
        <w:t xml:space="preserve"> </w:t>
      </w:r>
      <w:r>
        <w:t xml:space="preserve">- Discrepancies between host claims and edge-observed state</w:t>
      </w:r>
    </w:p>
    <w:p>
      <w:pPr>
        <w:pStyle w:val="BodyText"/>
      </w:pPr>
      <w:r>
        <w:t xml:space="preserve">You can independently check whether the operator’s attestation record remains consistent with what your device observed.</w:t>
      </w:r>
    </w:p>
    <w:p>
      <w:pPr>
        <w:pStyle w:val="BodyText"/>
      </w:pPr>
      <w:r>
        <w:rPr>
          <w:iCs/>
          <w:i/>
        </w:rPr>
        <w:t xml:space="preserve">See:</w:t>
      </w:r>
      <w:r>
        <w:rPr>
          <w:iCs/>
          <w:i/>
        </w:rPr>
        <w:t xml:space="preserve"> </w:t>
      </w:r>
      <w:r>
        <w:rPr>
          <w:rStyle w:val="VerbatimChar"/>
          <w:iCs/>
          <w:i/>
        </w:rPr>
        <w:t xml:space="preserve">/spec/MAS_v1.1_Unified.md</w:t>
      </w:r>
      <w:r>
        <w:rPr>
          <w:iCs/>
          <w:i/>
        </w:rPr>
        <w:t xml:space="preserve"> </w:t>
      </w:r>
      <w:r>
        <w:rPr>
          <w:iCs/>
          <w:i/>
        </w:rPr>
        <w:t xml:space="preserve">— Section: Edge Meter Agent</w:t>
      </w:r>
    </w:p>
    <w:p>
      <w:r>
        <w:pict>
          <v:rect style="width:0;height:1.5pt" o:hralign="center" o:hrstd="t" o:hr="t"/>
        </w:pict>
      </w:r>
    </w:p>
    <w:bookmarkEnd w:id="32"/>
    <w:bookmarkStart w:id="33" w:name="for-operators-compliance-and-governance"/>
    <w:p>
      <w:pPr>
        <w:pStyle w:val="Heading2"/>
      </w:pPr>
      <w:r>
        <w:t xml:space="preserve">For Operators — Compliance and Governance</w:t>
      </w:r>
    </w:p>
    <w:p>
      <w:pPr>
        <w:pStyle w:val="FirstParagraph"/>
      </w:pPr>
      <w:r>
        <w:t xml:space="preserve">Deploy a</w:t>
      </w:r>
      <w:r>
        <w:t xml:space="preserve"> </w:t>
      </w:r>
      <w:r>
        <w:rPr>
          <w:bCs/>
          <w:b/>
        </w:rPr>
        <w:t xml:space="preserve">Host Meter Agent</w:t>
      </w:r>
      <w:r>
        <w:t xml:space="preserve"> </w:t>
      </w:r>
      <w:r>
        <w:t xml:space="preserve">to produce a continuous, cryptographically signed record of your system’s declared governance state and load-bearing runtime events.</w:t>
      </w:r>
    </w:p>
    <w:p>
      <w:pPr>
        <w:pStyle w:val="BodyText"/>
      </w:pPr>
      <w:r>
        <w:t xml:space="preserve">ASRO attestation provides:</w:t>
      </w:r>
      <w:r>
        <w:t xml:space="preserve"> </w:t>
      </w:r>
      <w:r>
        <w:t xml:space="preserve">- A technically verifiable record of governance continuity for your board, partners, and regulators</w:t>
      </w:r>
      <w:r>
        <w:t xml:space="preserve"> </w:t>
      </w:r>
      <w:r>
        <w:t xml:space="preserve">- Evidence that supports compliance demonstration and governance review under applicable law</w:t>
      </w:r>
      <w:r>
        <w:t xml:space="preserve"> </w:t>
      </w:r>
      <w:r>
        <w:t xml:space="preserve">- A structured audit trail that reviewers can examine without accessing conversation content or model internals</w:t>
      </w:r>
    </w:p>
    <w:p>
      <w:pPr>
        <w:pStyle w:val="BodyText"/>
      </w:pPr>
      <w:r>
        <w:rPr>
          <w:bCs/>
          <w:b/>
        </w:rPr>
        <w:t xml:space="preserve">ASRO attestation supports compliance demonstration. Whether that evidence satisfies the specific requirements of applicable statutes is a legal determination made by qualified counsel and regulators, not by ASRO.</w:t>
      </w:r>
    </w:p>
    <w:p>
      <w:pPr>
        <w:pStyle w:val="BodyText"/>
      </w:pPr>
      <w:r>
        <w:rPr>
          <w:iCs/>
          <w:i/>
        </w:rPr>
        <w:t xml:space="preserve">See:</w:t>
      </w:r>
      <w:r>
        <w:rPr>
          <w:iCs/>
          <w:i/>
        </w:rPr>
        <w:t xml:space="preserve"> </w:t>
      </w:r>
      <w:r>
        <w:rPr>
          <w:rStyle w:val="VerbatimChar"/>
          <w:iCs/>
          <w:i/>
        </w:rPr>
        <w:t xml:space="preserve">/compliance/Implementation_Readiness_Checklist_v1.0.md</w:t>
      </w:r>
      <w:r>
        <w:rPr>
          <w:iCs/>
          <w:i/>
        </w:rPr>
        <w:t xml:space="preserve"> </w:t>
      </w:r>
      <w:r>
        <w:rPr>
          <w:iCs/>
          <w:i/>
        </w:rPr>
        <w:t xml:space="preserve">— start here</w:t>
      </w:r>
    </w:p>
    <w:p>
      <w:r>
        <w:pict>
          <v:rect style="width:0;height:1.5pt" o:hralign="center" o:hrstd="t" o:hr="t"/>
        </w:pict>
      </w:r>
    </w:p>
    <w:bookmarkEnd w:id="33"/>
    <w:bookmarkStart w:id="34" w:name="Xdc0863f879be077478c237210f192fc920bb004"/>
    <w:p>
      <w:pPr>
        <w:pStyle w:val="Heading2"/>
      </w:pPr>
      <w:r>
        <w:t xml:space="preserve">For Regulators and Auditors — Evidence and Review</w:t>
      </w:r>
    </w:p>
    <w:p>
      <w:pPr>
        <w:pStyle w:val="FirstParagraph"/>
      </w:pPr>
      <w:r>
        <w:t xml:space="preserve">ASRO provides a continuous, signed, independently checkable attestation record that answers:</w:t>
      </w:r>
      <w:r>
        <w:t xml:space="preserve"> </w:t>
      </w:r>
      <w:r>
        <w:t xml:space="preserve">- Was the declared governance configuration in force during this period?</w:t>
      </w:r>
      <w:r>
        <w:t xml:space="preserve"> </w:t>
      </w:r>
      <w:r>
        <w:t xml:space="preserve">- Did any undeclared change occur?</w:t>
      </w:r>
      <w:r>
        <w:t xml:space="preserve"> </w:t>
      </w:r>
      <w:r>
        <w:t xml:space="preserve">- Is the continuity chain intact, or are there gaps requiring explanation?</w:t>
      </w:r>
      <w:r>
        <w:t xml:space="preserve"> </w:t>
      </w:r>
      <w:r>
        <w:t xml:space="preserve">- What is the system’s current attestation status?</w:t>
      </w:r>
    </w:p>
    <w:p>
      <w:pPr>
        <w:pStyle w:val="BodyText"/>
      </w:pPr>
      <w:r>
        <w:t xml:space="preserve">ASRO review findings are evidentiary, not adjudicatory. Legal compliance determinations require human judgment applied to the attestation evidence, combined with the specific requirements of applicable statutes.</w:t>
      </w:r>
    </w:p>
    <w:p>
      <w:pPr>
        <w:pStyle w:val="BodyText"/>
      </w:pPr>
      <w:r>
        <w:t xml:space="preserve">ASRO does not determine legality or compliance outcome; it preserves the evidence chain on which those determinations can be based.</w:t>
      </w:r>
    </w:p>
    <w:p>
      <w:pPr>
        <w:pStyle w:val="BodyText"/>
      </w:pPr>
      <w:r>
        <w:rPr>
          <w:iCs/>
          <w:i/>
        </w:rPr>
        <w:t xml:space="preserve">See:</w:t>
      </w:r>
      <w:r>
        <w:rPr>
          <w:iCs/>
          <w:i/>
        </w:rPr>
        <w:t xml:space="preserve"> </w:t>
      </w:r>
      <w:r>
        <w:rPr>
          <w:rStyle w:val="VerbatimChar"/>
          <w:iCs/>
          <w:i/>
        </w:rPr>
        <w:t xml:space="preserve">/governance/Governance_Response_Protocol_v1.0.md</w:t>
      </w:r>
      <w:r>
        <w:t xml:space="preserve"> </w:t>
      </w:r>
      <w:r>
        <w:rPr>
          <w:iCs/>
          <w:i/>
        </w:rPr>
        <w:t xml:space="preserve">See:</w:t>
      </w:r>
      <w:r>
        <w:rPr>
          <w:iCs/>
          <w:i/>
        </w:rPr>
        <w:t xml:space="preserve"> </w:t>
      </w:r>
      <w:r>
        <w:rPr>
          <w:rStyle w:val="VerbatimChar"/>
          <w:iCs/>
          <w:i/>
        </w:rPr>
        <w:t xml:space="preserve">/governance/Governance_Rationale_v1.1.md</w:t>
      </w:r>
    </w:p>
    <w:p>
      <w:r>
        <w:pict>
          <v:rect style="width:0;height:1.5pt" o:hralign="center" o:hrstd="t" o:hr="t"/>
        </w:pict>
      </w:r>
    </w:p>
    <w:bookmarkEnd w:id="34"/>
    <w:bookmarkStart w:id="35" w:name="attestation-status-tiers"/>
    <w:p>
      <w:pPr>
        <w:pStyle w:val="Heading2"/>
      </w:pPr>
      <w:r>
        <w:t xml:space="preserve">Attestation Status Tiers</w:t>
      </w:r>
    </w:p>
    <w:tbl>
      <w:tblPr>
        <w:tblStyle w:val="Table"/>
        <w:tblW w:type="pct" w:w="5000"/>
        <w:tblLook w:firstRow="1" w:lastRow="0" w:firstColumn="0" w:lastColumn="0" w:noHBand="0" w:noVBand="0" w:val="0020"/>
        <w:jc w:val="start"/>
      </w:tblPr>
      <w:tblGrid>
        <w:gridCol w:w="2640"/>
        <w:gridCol w:w="2310"/>
        <w:gridCol w:w="2970"/>
      </w:tblGrid>
      <w:tr>
        <w:trPr>
          <w:tblHeader w:val="true"/>
        </w:trPr>
        <w:tc>
          <w:tcPr/>
          <w:p>
            <w:pPr>
              <w:pStyle w:val="Compact"/>
              <w:jc w:val="left"/>
            </w:pPr>
            <w:r>
              <w:t xml:space="preserve">Status</w:t>
            </w:r>
          </w:p>
        </w:tc>
        <w:tc>
          <w:tcPr/>
          <w:p>
            <w:pPr>
              <w:pStyle w:val="Compact"/>
              <w:jc w:val="left"/>
            </w:pPr>
            <w:r>
              <w:t xml:space="preserve">Label</w:t>
            </w:r>
          </w:p>
        </w:tc>
        <w:tc>
          <w:tcPr/>
          <w:p>
            <w:pPr>
              <w:pStyle w:val="Compact"/>
              <w:jc w:val="left"/>
            </w:pPr>
            <w:r>
              <w:t xml:space="preserve">Meaning</w:t>
            </w:r>
          </w:p>
        </w:tc>
      </w:tr>
      <w:tr>
        <w:tc>
          <w:tcPr/>
          <w:p>
            <w:pPr>
              <w:pStyle w:val="Compact"/>
              <w:jc w:val="left"/>
            </w:pPr>
            <w:r>
              <w:rPr>
                <w:rStyle w:val="VerbatimChar"/>
              </w:rPr>
              <w:t xml:space="preserve">host_attested</w:t>
            </w:r>
          </w:p>
        </w:tc>
        <w:tc>
          <w:tcPr/>
          <w:p>
            <w:pPr>
              <w:pStyle w:val="Compact"/>
              <w:jc w:val="left"/>
            </w:pPr>
            <w:r>
              <w:rPr>
                <w:bCs/>
                <w:b/>
              </w:rPr>
              <w:t xml:space="preserve">Host Attestation Active</w:t>
            </w:r>
          </w:p>
        </w:tc>
        <w:tc>
          <w:tcPr/>
          <w:p>
            <w:pPr>
              <w:pStyle w:val="Compact"/>
              <w:jc w:val="left"/>
            </w:pPr>
            <w:r>
              <w:t xml:space="preserve">Operator-side attestation active. No claim of edge reconciliation.</w:t>
            </w:r>
          </w:p>
        </w:tc>
      </w:tr>
      <w:tr>
        <w:tc>
          <w:tcPr/>
          <w:p>
            <w:pPr>
              <w:pStyle w:val="Compact"/>
              <w:jc w:val="left"/>
            </w:pPr>
            <w:r>
              <w:rPr>
                <w:rStyle w:val="VerbatimChar"/>
              </w:rPr>
              <w:t xml:space="preserve">reconciled_attested</w:t>
            </w:r>
          </w:p>
        </w:tc>
        <w:tc>
          <w:tcPr/>
          <w:p>
            <w:pPr>
              <w:pStyle w:val="Compact"/>
              <w:jc w:val="left"/>
            </w:pPr>
            <w:r>
              <w:rPr>
                <w:bCs/>
                <w:b/>
              </w:rPr>
              <w:t xml:space="preserve">Independent Verification Active</w:t>
            </w:r>
          </w:p>
        </w:tc>
        <w:tc>
          <w:tcPr/>
          <w:p>
            <w:pPr>
              <w:pStyle w:val="Compact"/>
              <w:jc w:val="left"/>
            </w:pPr>
            <w:r>
              <w:t xml:space="preserve">Host and edge attestation are both active and reconcilable under the declared observation conditions.</w:t>
            </w:r>
          </w:p>
        </w:tc>
      </w:tr>
      <w:tr>
        <w:tc>
          <w:tcPr/>
          <w:p>
            <w:pPr>
              <w:pStyle w:val="Compact"/>
              <w:jc w:val="left"/>
            </w:pPr>
            <w:r>
              <w:rPr>
                <w:rStyle w:val="VerbatimChar"/>
              </w:rPr>
              <w:t xml:space="preserve">under_review</w:t>
            </w:r>
          </w:p>
        </w:tc>
        <w:tc>
          <w:tcPr/>
          <w:p>
            <w:pPr>
              <w:pStyle w:val="Compact"/>
              <w:jc w:val="left"/>
            </w:pPr>
            <w:r>
              <w:rPr>
                <w:bCs/>
                <w:b/>
              </w:rPr>
              <w:t xml:space="preserve">Attestation Under Review</w:t>
            </w:r>
          </w:p>
        </w:tc>
        <w:tc>
          <w:tcPr/>
          <w:p>
            <w:pPr>
              <w:pStyle w:val="Compact"/>
              <w:jc w:val="left"/>
            </w:pPr>
            <w:r>
              <w:t xml:space="preserve">Trust-relevant anomaly active. Status not clean. Required during S4 alerts.</w:t>
            </w:r>
          </w:p>
        </w:tc>
      </w:tr>
      <w:tr>
        <w:tc>
          <w:tcPr/>
          <w:p>
            <w:pPr>
              <w:pStyle w:val="Compact"/>
              <w:jc w:val="left"/>
            </w:pPr>
            <w:r>
              <w:rPr>
                <w:rStyle w:val="VerbatimChar"/>
              </w:rPr>
              <w:t xml:space="preserve">non_compliant</w:t>
            </w:r>
          </w:p>
        </w:tc>
        <w:tc>
          <w:tcPr/>
          <w:p>
            <w:pPr>
              <w:pStyle w:val="Compact"/>
              <w:jc w:val="left"/>
            </w:pPr>
            <w:r>
              <w:rPr>
                <w:bCs/>
                <w:b/>
              </w:rPr>
              <w:t xml:space="preserve">Attestation Not Current</w:t>
            </w:r>
          </w:p>
        </w:tc>
        <w:tc>
          <w:tcPr/>
          <w:p>
            <w:pPr>
              <w:pStyle w:val="Compact"/>
              <w:jc w:val="left"/>
            </w:pPr>
            <w:r>
              <w:t xml:space="preserve">System cannot credibly claim current ASRO attestation compliance.</w:t>
            </w:r>
          </w:p>
        </w:tc>
      </w:tr>
    </w:tbl>
    <w:p>
      <w:pPr>
        <w:pStyle w:val="BodyText"/>
      </w:pPr>
      <w:r>
        <w:rPr>
          <w:bCs/>
          <w:b/>
        </w:rPr>
        <w:t xml:space="preserve">The Trust Badge communicates attestation status only. It does not imply safety, accuracy, quality, harmlessness, or regulatory approval.</w:t>
      </w:r>
    </w:p>
    <w:p>
      <w:pPr>
        <w:pStyle w:val="BodyText"/>
      </w:pPr>
      <w:r>
        <w:t xml:space="preserve">A system that structurally prevents meaningful edge observation cannot claim</w:t>
      </w:r>
      <w:r>
        <w:t xml:space="preserve"> </w:t>
      </w:r>
      <w:r>
        <w:rPr>
          <w:rStyle w:val="VerbatimChar"/>
        </w:rPr>
        <w:t xml:space="preserve">Independent Verification Active</w:t>
      </w:r>
      <w:r>
        <w:t xml:space="preserve"> </w:t>
      </w:r>
      <w:r>
        <w:t xml:space="preserve">status.</w:t>
      </w:r>
    </w:p>
    <w:p>
      <w:pPr>
        <w:pStyle w:val="BodyText"/>
      </w:pPr>
      <w:r>
        <w:rPr>
          <w:iCs/>
          <w:i/>
        </w:rPr>
        <w:t xml:space="preserve">See:</w:t>
      </w:r>
      <w:r>
        <w:rPr>
          <w:iCs/>
          <w:i/>
        </w:rPr>
        <w:t xml:space="preserve"> </w:t>
      </w:r>
      <w:r>
        <w:rPr>
          <w:rStyle w:val="VerbatimChar"/>
          <w:iCs/>
          <w:i/>
        </w:rPr>
        <w:t xml:space="preserve">/docs/ASRO_Trust_Badge_Spec_v1.0.md</w:t>
      </w:r>
    </w:p>
    <w:p>
      <w:r>
        <w:pict>
          <v:rect style="width:0;height:1.5pt" o:hralign="center" o:hrstd="t" o:hr="t"/>
        </w:pict>
      </w:r>
    </w:p>
    <w:bookmarkEnd w:id="35"/>
    <w:bookmarkStart w:id="36" w:name="known-limitations"/>
    <w:p>
      <w:pPr>
        <w:pStyle w:val="Heading2"/>
      </w:pPr>
      <w:r>
        <w:t xml:space="preserve">Known Limitations</w:t>
      </w:r>
    </w:p>
    <w:p>
      <w:pPr>
        <w:pStyle w:val="FirstParagraph"/>
      </w:pPr>
      <w:r>
        <w:t xml:space="preserve">These limitations are stated prominently because honest scope is what makes this framework credible.</w:t>
      </w:r>
    </w:p>
    <w:p>
      <w:pPr>
        <w:numPr>
          <w:ilvl w:val="0"/>
          <w:numId w:val="1006"/>
        </w:numPr>
        <w:pStyle w:val="Compact"/>
      </w:pPr>
      <w:r>
        <w:t xml:space="preserve">ASRO does not guarantee good model behavior.</w:t>
      </w:r>
    </w:p>
    <w:p>
      <w:pPr>
        <w:numPr>
          <w:ilvl w:val="0"/>
          <w:numId w:val="1006"/>
        </w:numPr>
        <w:pStyle w:val="Compact"/>
      </w:pPr>
      <w:r>
        <w:t xml:space="preserve">ASRO does not eliminate hallucinations.</w:t>
      </w:r>
    </w:p>
    <w:p>
      <w:pPr>
        <w:numPr>
          <w:ilvl w:val="0"/>
          <w:numId w:val="1006"/>
        </w:numPr>
        <w:pStyle w:val="Compact"/>
      </w:pPr>
      <w:r>
        <w:t xml:space="preserve">ASRO does not by itself prove legal compliance.</w:t>
      </w:r>
    </w:p>
    <w:p>
      <w:pPr>
        <w:numPr>
          <w:ilvl w:val="0"/>
          <w:numId w:val="1006"/>
        </w:numPr>
        <w:pStyle w:val="Compact"/>
      </w:pPr>
      <w:r>
        <w:t xml:space="preserve">ASRO does not prevent all infrastructure compromise.</w:t>
      </w:r>
    </w:p>
    <w:p>
      <w:pPr>
        <w:numPr>
          <w:ilvl w:val="0"/>
          <w:numId w:val="1006"/>
        </w:numPr>
        <w:pStyle w:val="Compact"/>
      </w:pPr>
      <w:r>
        <w:t xml:space="preserve">Host-only attestation is weaker than host-edge reconciled attestation.</w:t>
      </w:r>
    </w:p>
    <w:p>
      <w:pPr>
        <w:numPr>
          <w:ilvl w:val="0"/>
          <w:numId w:val="1006"/>
        </w:numPr>
        <w:pStyle w:val="Compact"/>
      </w:pPr>
      <w:r>
        <w:t xml:space="preserve">Low-visibility environments weaken edge assurance even when honestly declared.</w:t>
      </w:r>
    </w:p>
    <w:p>
      <w:r>
        <w:pict>
          <v:rect style="width:0;height:1.5pt" o:hralign="center" o:hrstd="t" o:hr="t"/>
        </w:pict>
      </w:r>
    </w:p>
    <w:bookmarkEnd w:id="36"/>
    <w:bookmarkStart w:id="43" w:name="document-index"/>
    <w:p>
      <w:pPr>
        <w:pStyle w:val="Heading2"/>
      </w:pPr>
      <w:r>
        <w:t xml:space="preserve">Document Index</w:t>
      </w:r>
    </w:p>
    <w:bookmarkStart w:id="37" w:name="technical"/>
    <w:p>
      <w:pPr>
        <w:pStyle w:val="Heading3"/>
      </w:pPr>
      <w:r>
        <w:t xml:space="preserve">Technical</w:t>
      </w:r>
    </w:p>
    <w:tbl>
      <w:tblPr>
        <w:tblStyle w:val="Table"/>
        <w:tblW w:type="pct" w:w="5000"/>
        <w:tblLook w:firstRow="1" w:lastRow="0" w:firstColumn="0" w:lastColumn="0" w:noHBand="0" w:noVBand="0" w:val="0020"/>
        <w:jc w:val="start"/>
      </w:tblPr>
      <w:tblGrid>
        <w:gridCol w:w="2731"/>
        <w:gridCol w:w="1638"/>
        <w:gridCol w:w="3550"/>
      </w:tblGrid>
      <w:tr>
        <w:trPr>
          <w:tblHeader w:val="true"/>
        </w:trPr>
        <w:tc>
          <w:tcPr/>
          <w:p>
            <w:pPr>
              <w:pStyle w:val="Compact"/>
              <w:jc w:val="left"/>
            </w:pPr>
            <w:r>
              <w:t xml:space="preserve">Document</w:t>
            </w:r>
          </w:p>
        </w:tc>
        <w:tc>
          <w:tcPr/>
          <w:p>
            <w:pPr>
              <w:pStyle w:val="Compact"/>
              <w:jc w:val="left"/>
            </w:pPr>
            <w:r>
              <w:t xml:space="preserve">Path</w:t>
            </w:r>
          </w:p>
        </w:tc>
        <w:tc>
          <w:tcPr/>
          <w:p>
            <w:pPr>
              <w:pStyle w:val="Compact"/>
              <w:jc w:val="left"/>
            </w:pPr>
            <w:r>
              <w:t xml:space="preserve">Description</w:t>
            </w:r>
          </w:p>
        </w:tc>
      </w:tr>
      <w:tr>
        <w:tc>
          <w:tcPr/>
          <w:p>
            <w:pPr>
              <w:pStyle w:val="Compact"/>
              <w:jc w:val="left"/>
            </w:pPr>
            <w:r>
              <w:t xml:space="preserve">Meter Agent Specification v1.1</w:t>
            </w:r>
          </w:p>
        </w:tc>
        <w:tc>
          <w:tcPr/>
          <w:p>
            <w:pPr>
              <w:pStyle w:val="Compact"/>
              <w:jc w:val="left"/>
            </w:pPr>
            <w:r>
              <w:rPr>
                <w:rStyle w:val="VerbatimChar"/>
              </w:rPr>
              <w:t xml:space="preserve">/spec/MAS_v1.1_Unified.md</w:t>
            </w:r>
          </w:p>
        </w:tc>
        <w:tc>
          <w:tcPr/>
          <w:p>
            <w:pPr>
              <w:pStyle w:val="Compact"/>
              <w:jc w:val="left"/>
            </w:pPr>
            <w:r>
              <w:t xml:space="preserve">Authoritative technical specification: telemetry, schemas, continuity, discrepancy taxonomy, trust model</w:t>
            </w:r>
          </w:p>
        </w:tc>
      </w:tr>
      <w:tr>
        <w:tc>
          <w:tcPr/>
          <w:p>
            <w:pPr>
              <w:pStyle w:val="Compact"/>
              <w:jc w:val="left"/>
            </w:pPr>
            <w:r>
              <w:t xml:space="preserve">Technical Annex v1.0</w:t>
            </w:r>
          </w:p>
        </w:tc>
        <w:tc>
          <w:tcPr/>
          <w:p>
            <w:pPr>
              <w:pStyle w:val="Compact"/>
              <w:jc w:val="left"/>
            </w:pPr>
            <w:r>
              <w:rPr>
                <w:rStyle w:val="VerbatimChar"/>
              </w:rPr>
              <w:t xml:space="preserve">/docs/Technical_Annex_v1.0.md</w:t>
            </w:r>
          </w:p>
        </w:tc>
        <w:tc>
          <w:tcPr/>
          <w:p>
            <w:pPr>
              <w:pStyle w:val="Compact"/>
              <w:jc w:val="left"/>
            </w:pPr>
            <w:r>
              <w:t xml:space="preserve">Implementation architecture, data flow, deployment patterns</w:t>
            </w:r>
          </w:p>
        </w:tc>
      </w:tr>
      <w:tr>
        <w:tc>
          <w:tcPr/>
          <w:p>
            <w:pPr>
              <w:pStyle w:val="Compact"/>
              <w:jc w:val="left"/>
            </w:pPr>
            <w:r>
              <w:t xml:space="preserve">Threat Model v1.0</w:t>
            </w:r>
          </w:p>
        </w:tc>
        <w:tc>
          <w:tcPr/>
          <w:p>
            <w:pPr>
              <w:pStyle w:val="Compact"/>
              <w:jc w:val="left"/>
            </w:pPr>
            <w:r>
              <w:rPr>
                <w:rStyle w:val="VerbatimChar"/>
              </w:rPr>
              <w:t xml:space="preserve">/threat-model/Threat_Model_v1.0.md</w:t>
            </w:r>
          </w:p>
        </w:tc>
        <w:tc>
          <w:tcPr/>
          <w:p>
            <w:pPr>
              <w:pStyle w:val="Compact"/>
              <w:jc w:val="left"/>
            </w:pPr>
            <w:r>
              <w:t xml:space="preserve">Attack surfaces, named attack patterns, mitigations</w:t>
            </w:r>
          </w:p>
        </w:tc>
      </w:tr>
    </w:tbl>
    <w:bookmarkEnd w:id="37"/>
    <w:bookmarkStart w:id="38" w:name="governance"/>
    <w:p>
      <w:pPr>
        <w:pStyle w:val="Heading3"/>
      </w:pPr>
      <w:r>
        <w:t xml:space="preserve">Governance</w:t>
      </w:r>
    </w:p>
    <w:tbl>
      <w:tblPr>
        <w:tblStyle w:val="Table"/>
        <w:tblW w:type="pct" w:w="5000"/>
        <w:tblLook w:firstRow="1" w:lastRow="0" w:firstColumn="0" w:lastColumn="0" w:noHBand="0" w:noVBand="0" w:val="0020"/>
        <w:jc w:val="start"/>
      </w:tblPr>
      <w:tblGrid>
        <w:gridCol w:w="2731"/>
        <w:gridCol w:w="1638"/>
        <w:gridCol w:w="3550"/>
      </w:tblGrid>
      <w:tr>
        <w:trPr>
          <w:tblHeader w:val="true"/>
        </w:trPr>
        <w:tc>
          <w:tcPr/>
          <w:p>
            <w:pPr>
              <w:pStyle w:val="Compact"/>
              <w:jc w:val="left"/>
            </w:pPr>
            <w:r>
              <w:t xml:space="preserve">Document</w:t>
            </w:r>
          </w:p>
        </w:tc>
        <w:tc>
          <w:tcPr/>
          <w:p>
            <w:pPr>
              <w:pStyle w:val="Compact"/>
              <w:jc w:val="left"/>
            </w:pPr>
            <w:r>
              <w:t xml:space="preserve">Path</w:t>
            </w:r>
          </w:p>
        </w:tc>
        <w:tc>
          <w:tcPr/>
          <w:p>
            <w:pPr>
              <w:pStyle w:val="Compact"/>
              <w:jc w:val="left"/>
            </w:pPr>
            <w:r>
              <w:t xml:space="preserve">Description</w:t>
            </w:r>
          </w:p>
        </w:tc>
      </w:tr>
      <w:tr>
        <w:tc>
          <w:tcPr/>
          <w:p>
            <w:pPr>
              <w:pStyle w:val="Compact"/>
              <w:jc w:val="left"/>
            </w:pPr>
            <w:r>
              <w:t xml:space="preserve">Governance Rationale v1.1</w:t>
            </w:r>
          </w:p>
        </w:tc>
        <w:tc>
          <w:tcPr/>
          <w:p>
            <w:pPr>
              <w:pStyle w:val="Compact"/>
              <w:jc w:val="left"/>
            </w:pPr>
            <w:r>
              <w:rPr>
                <w:rStyle w:val="VerbatimChar"/>
              </w:rPr>
              <w:t xml:space="preserve">/governance/Governance_Rationale_v1.1.md</w:t>
            </w:r>
          </w:p>
        </w:tc>
        <w:tc>
          <w:tcPr/>
          <w:p>
            <w:pPr>
              <w:pStyle w:val="Compact"/>
              <w:jc w:val="left"/>
            </w:pPr>
            <w:r>
              <w:t xml:space="preserve">Why attestation-based governance is necessary; adoption logic; escalation rules</w:t>
            </w:r>
          </w:p>
        </w:tc>
      </w:tr>
      <w:tr>
        <w:tc>
          <w:tcPr/>
          <w:p>
            <w:pPr>
              <w:pStyle w:val="Compact"/>
              <w:jc w:val="left"/>
            </w:pPr>
            <w:r>
              <w:t xml:space="preserve">Governance Response Protocol v1.0</w:t>
            </w:r>
          </w:p>
        </w:tc>
        <w:tc>
          <w:tcPr/>
          <w:p>
            <w:pPr>
              <w:pStyle w:val="Compact"/>
              <w:jc w:val="left"/>
            </w:pPr>
            <w:r>
              <w:rPr>
                <w:rStyle w:val="VerbatimChar"/>
              </w:rPr>
              <w:t xml:space="preserve">/governance/Governance_Response_Protocol_v1.0.md</w:t>
            </w:r>
          </w:p>
        </w:tc>
        <w:tc>
          <w:tcPr/>
          <w:p>
            <w:pPr>
              <w:pStyle w:val="Compact"/>
              <w:jc w:val="left"/>
            </w:pPr>
            <w:r>
              <w:t xml:space="preserve">Reviewer roles, S3/S4 response procedures, timelines</w:t>
            </w:r>
          </w:p>
        </w:tc>
      </w:tr>
      <w:tr>
        <w:tc>
          <w:tcPr/>
          <w:p>
            <w:pPr>
              <w:pStyle w:val="Compact"/>
              <w:jc w:val="left"/>
            </w:pPr>
            <w:r>
              <w:t xml:space="preserve">Threat Classification Framework v1.0</w:t>
            </w:r>
          </w:p>
        </w:tc>
        <w:tc>
          <w:tcPr/>
          <w:p>
            <w:pPr>
              <w:pStyle w:val="Compact"/>
              <w:jc w:val="left"/>
            </w:pPr>
            <w:r>
              <w:rPr>
                <w:rStyle w:val="VerbatimChar"/>
              </w:rPr>
              <w:t xml:space="preserve">/governance/Threat_Classification_Framework_v1.0.md</w:t>
            </w:r>
          </w:p>
        </w:tc>
        <w:tc>
          <w:tcPr/>
          <w:p>
            <w:pPr>
              <w:pStyle w:val="Compact"/>
              <w:jc w:val="left"/>
            </w:pPr>
            <w:r>
              <w:t xml:space="preserve">Five threat categories ranked by governance significance</w:t>
            </w:r>
          </w:p>
        </w:tc>
      </w:tr>
      <w:tr>
        <w:tc>
          <w:tcPr/>
          <w:p>
            <w:pPr>
              <w:pStyle w:val="Compact"/>
              <w:jc w:val="left"/>
            </w:pPr>
            <w:r>
              <w:t xml:space="preserve">Credibility Pass Report v1.0</w:t>
            </w:r>
          </w:p>
        </w:tc>
        <w:tc>
          <w:tcPr/>
          <w:p>
            <w:pPr>
              <w:pStyle w:val="Compact"/>
              <w:jc w:val="left"/>
            </w:pPr>
            <w:r>
              <w:rPr>
                <w:rStyle w:val="VerbatimChar"/>
              </w:rPr>
              <w:t xml:space="preserve">/governance/Credibility_Pass_Report_v1.0.md</w:t>
            </w:r>
          </w:p>
        </w:tc>
        <w:tc>
          <w:tcPr/>
          <w:p>
            <w:pPr>
              <w:pStyle w:val="Compact"/>
              <w:jc w:val="left"/>
            </w:pPr>
            <w:r>
              <w:t xml:space="preserve">Final quality certification — ten findings, all resolved</w:t>
            </w:r>
          </w:p>
        </w:tc>
      </w:tr>
    </w:tbl>
    <w:bookmarkEnd w:id="38"/>
    <w:bookmarkStart w:id="39" w:name="compliance-and-public"/>
    <w:p>
      <w:pPr>
        <w:pStyle w:val="Heading3"/>
      </w:pPr>
      <w:r>
        <w:t xml:space="preserve">Compliance and Public</w:t>
      </w:r>
    </w:p>
    <w:tbl>
      <w:tblPr>
        <w:tblStyle w:val="Table"/>
        <w:tblW w:type="pct" w:w="5000"/>
        <w:tblLook w:firstRow="1" w:lastRow="0" w:firstColumn="0" w:lastColumn="0" w:noHBand="0" w:noVBand="0" w:val="0020"/>
        <w:jc w:val="start"/>
      </w:tblPr>
      <w:tblGrid>
        <w:gridCol w:w="2731"/>
        <w:gridCol w:w="1638"/>
        <w:gridCol w:w="3550"/>
      </w:tblGrid>
      <w:tr>
        <w:trPr>
          <w:tblHeader w:val="true"/>
        </w:trPr>
        <w:tc>
          <w:tcPr/>
          <w:p>
            <w:pPr>
              <w:pStyle w:val="Compact"/>
              <w:jc w:val="left"/>
            </w:pPr>
            <w:r>
              <w:t xml:space="preserve">Document</w:t>
            </w:r>
          </w:p>
        </w:tc>
        <w:tc>
          <w:tcPr/>
          <w:p>
            <w:pPr>
              <w:pStyle w:val="Compact"/>
              <w:jc w:val="left"/>
            </w:pPr>
            <w:r>
              <w:t xml:space="preserve">Path</w:t>
            </w:r>
          </w:p>
        </w:tc>
        <w:tc>
          <w:tcPr/>
          <w:p>
            <w:pPr>
              <w:pStyle w:val="Compact"/>
              <w:jc w:val="left"/>
            </w:pPr>
            <w:r>
              <w:t xml:space="preserve">Description</w:t>
            </w:r>
          </w:p>
        </w:tc>
      </w:tr>
      <w:tr>
        <w:tc>
          <w:tcPr/>
          <w:p>
            <w:pPr>
              <w:pStyle w:val="Compact"/>
              <w:jc w:val="left"/>
            </w:pPr>
            <w:r>
              <w:t xml:space="preserve">Implementation Readiness Checklist v1.0</w:t>
            </w:r>
          </w:p>
        </w:tc>
        <w:tc>
          <w:tcPr/>
          <w:p>
            <w:pPr>
              <w:pStyle w:val="Compact"/>
              <w:jc w:val="left"/>
            </w:pPr>
            <w:r>
              <w:rPr>
                <w:rStyle w:val="VerbatimChar"/>
              </w:rPr>
              <w:t xml:space="preserve">/compliance/Implementation_Readiness_Checklist_v1.0.md</w:t>
            </w:r>
          </w:p>
        </w:tc>
        <w:tc>
          <w:tcPr/>
          <w:p>
            <w:pPr>
              <w:pStyle w:val="Compact"/>
              <w:jc w:val="left"/>
            </w:pPr>
            <w:r>
              <w:t xml:space="preserve">10-point operator self-audit before claiming ASRO compliance</w:t>
            </w:r>
          </w:p>
        </w:tc>
      </w:tr>
      <w:tr>
        <w:tc>
          <w:tcPr/>
          <w:p>
            <w:pPr>
              <w:pStyle w:val="Compact"/>
              <w:jc w:val="left"/>
            </w:pPr>
            <w:r>
              <w:t xml:space="preserve">Trust Badge Specification v1.0</w:t>
            </w:r>
          </w:p>
        </w:tc>
        <w:tc>
          <w:tcPr/>
          <w:p>
            <w:pPr>
              <w:pStyle w:val="Compact"/>
              <w:jc w:val="left"/>
            </w:pPr>
            <w:r>
              <w:rPr>
                <w:rStyle w:val="VerbatimChar"/>
              </w:rPr>
              <w:t xml:space="preserve">/docs/ASRO_Trust_Badge_Spec_v1.0.md</w:t>
            </w:r>
          </w:p>
        </w:tc>
        <w:tc>
          <w:tcPr/>
          <w:p>
            <w:pPr>
              <w:pStyle w:val="Compact"/>
              <w:jc w:val="left"/>
            </w:pPr>
            <w:r>
              <w:t xml:space="preserve">Human-readable and machine-readable badge status rules</w:t>
            </w:r>
          </w:p>
        </w:tc>
      </w:tr>
    </w:tbl>
    <w:bookmarkEnd w:id="39"/>
    <w:bookmarkStart w:id="40" w:name="case-studies"/>
    <w:p>
      <w:pPr>
        <w:pStyle w:val="Heading3"/>
      </w:pPr>
      <w:r>
        <w:t xml:space="preserve">Case Studies</w:t>
      </w:r>
    </w:p>
    <w:tbl>
      <w:tblPr>
        <w:tblStyle w:val="Table"/>
        <w:tblW w:type="pct" w:w="5000"/>
        <w:tblLook w:firstRow="1" w:lastRow="0" w:firstColumn="0" w:lastColumn="0" w:noHBand="0" w:noVBand="0" w:val="0020"/>
        <w:jc w:val="start"/>
      </w:tblPr>
      <w:tblGrid>
        <w:gridCol w:w="2731"/>
        <w:gridCol w:w="1638"/>
        <w:gridCol w:w="3550"/>
      </w:tblGrid>
      <w:tr>
        <w:trPr>
          <w:tblHeader w:val="true"/>
        </w:trPr>
        <w:tc>
          <w:tcPr/>
          <w:p>
            <w:pPr>
              <w:pStyle w:val="Compact"/>
              <w:jc w:val="left"/>
            </w:pPr>
            <w:r>
              <w:t xml:space="preserve">Document</w:t>
            </w:r>
          </w:p>
        </w:tc>
        <w:tc>
          <w:tcPr/>
          <w:p>
            <w:pPr>
              <w:pStyle w:val="Compact"/>
              <w:jc w:val="left"/>
            </w:pPr>
            <w:r>
              <w:t xml:space="preserve">Path</w:t>
            </w:r>
          </w:p>
        </w:tc>
        <w:tc>
          <w:tcPr/>
          <w:p>
            <w:pPr>
              <w:pStyle w:val="Compact"/>
              <w:jc w:val="left"/>
            </w:pPr>
            <w:r>
              <w:t xml:space="preserve">Description</w:t>
            </w:r>
          </w:p>
        </w:tc>
      </w:tr>
      <w:tr>
        <w:tc>
          <w:tcPr/>
          <w:p>
            <w:pPr>
              <w:pStyle w:val="Compact"/>
              <w:jc w:val="left"/>
            </w:pPr>
            <w:r>
              <w:t xml:space="preserve">Multi-System Review Summary v1.1</w:t>
            </w:r>
          </w:p>
        </w:tc>
        <w:tc>
          <w:tcPr/>
          <w:p>
            <w:pPr>
              <w:pStyle w:val="Compact"/>
              <w:jc w:val="left"/>
            </w:pPr>
            <w:r>
              <w:rPr>
                <w:rStyle w:val="VerbatimChar"/>
              </w:rPr>
              <w:t xml:space="preserve">/docs/case-studies/ASRO_MultiSystem_Review_Summary_v1.1.md</w:t>
            </w:r>
          </w:p>
        </w:tc>
        <w:tc>
          <w:tcPr/>
          <w:p>
            <w:pPr>
              <w:pStyle w:val="Compact"/>
              <w:jc w:val="left"/>
            </w:pPr>
            <w:r>
              <w:t xml:space="preserve">CS-001: Ten-system behavioral review — baseline dataset</w:t>
            </w:r>
          </w:p>
        </w:tc>
      </w:tr>
      <w:tr>
        <w:tc>
          <w:tcPr/>
          <w:p>
            <w:pPr>
              <w:pStyle w:val="Compact"/>
              <w:jc w:val="left"/>
            </w:pPr>
            <w:r>
              <w:t xml:space="preserve">Recursive Self-Audit v1.1</w:t>
            </w:r>
          </w:p>
        </w:tc>
        <w:tc>
          <w:tcPr/>
          <w:p>
            <w:pPr>
              <w:pStyle w:val="Compact"/>
              <w:jc w:val="left"/>
            </w:pPr>
            <w:r>
              <w:rPr>
                <w:rStyle w:val="VerbatimChar"/>
              </w:rPr>
              <w:t xml:space="preserve">/docs/case-studies/ASRO_Case_Study_CS002_Recursive_Self_Audit_v1.1.md</w:t>
            </w:r>
          </w:p>
        </w:tc>
        <w:tc>
          <w:tcPr/>
          <w:p>
            <w:pPr>
              <w:pStyle w:val="Compact"/>
              <w:jc w:val="left"/>
            </w:pPr>
            <w:r>
              <w:t xml:space="preserve">CS-002: DeepSeek driven from S3 fabrication to S0 through iterative audit</w:t>
            </w:r>
          </w:p>
        </w:tc>
      </w:tr>
      <w:tr>
        <w:tc>
          <w:tcPr/>
          <w:p>
            <w:pPr>
              <w:pStyle w:val="Compact"/>
              <w:jc w:val="left"/>
            </w:pPr>
            <w:r>
              <w:t xml:space="preserve">Differential Self-Audit v1.3</w:t>
            </w:r>
          </w:p>
        </w:tc>
        <w:tc>
          <w:tcPr/>
          <w:p>
            <w:pPr>
              <w:pStyle w:val="Compact"/>
              <w:jc w:val="left"/>
            </w:pPr>
            <w:r>
              <w:rPr>
                <w:rStyle w:val="VerbatimChar"/>
              </w:rPr>
              <w:t xml:space="preserve">/docs/case-studies/ASRO_Case_Study_CS003_Differential_Self_Audit_v1.3.md</w:t>
            </w:r>
          </w:p>
        </w:tc>
        <w:tc>
          <w:tcPr/>
          <w:p>
            <w:pPr>
              <w:pStyle w:val="Compact"/>
              <w:jc w:val="left"/>
            </w:pPr>
            <w:r>
              <w:t xml:space="preserve">CS-003: Cross-system differential audit — reasoning vs attestation vs evidence gaps</w:t>
            </w:r>
          </w:p>
        </w:tc>
      </w:tr>
      <w:tr>
        <w:tc>
          <w:tcPr/>
          <w:p>
            <w:pPr>
              <w:pStyle w:val="Compact"/>
              <w:jc w:val="left"/>
            </w:pPr>
            <w:r>
              <w:t xml:space="preserve">Remediation Verification v1.1</w:t>
            </w:r>
          </w:p>
        </w:tc>
        <w:tc>
          <w:tcPr/>
          <w:p>
            <w:pPr>
              <w:pStyle w:val="Compact"/>
              <w:jc w:val="left"/>
            </w:pPr>
            <w:r>
              <w:rPr>
                <w:rStyle w:val="VerbatimChar"/>
              </w:rPr>
              <w:t xml:space="preserve">/docs/case-studies/ASRO_Case_Study_CS004_Remediation_Verification_v1.1.md</w:t>
            </w:r>
          </w:p>
        </w:tc>
        <w:tc>
          <w:tcPr/>
          <w:p>
            <w:pPr>
              <w:pStyle w:val="Compact"/>
              <w:jc w:val="left"/>
            </w:pPr>
            <w:r>
              <w:t xml:space="preserve">CS-004: Amendment verification across three systems</w:t>
            </w:r>
          </w:p>
        </w:tc>
      </w:tr>
      <w:tr>
        <w:tc>
          <w:tcPr/>
          <w:p>
            <w:pPr>
              <w:pStyle w:val="Compact"/>
              <w:jc w:val="left"/>
            </w:pPr>
            <w:r>
              <w:t xml:space="preserve">Founding System Behavioral Study v1.3</w:t>
            </w:r>
          </w:p>
        </w:tc>
        <w:tc>
          <w:tcPr/>
          <w:p>
            <w:pPr>
              <w:pStyle w:val="Compact"/>
              <w:jc w:val="left"/>
            </w:pPr>
            <w:r>
              <w:rPr>
                <w:rStyle w:val="VerbatimChar"/>
              </w:rPr>
              <w:t xml:space="preserve">/docs/case-studies/ASRO_Case_Study_CS005_Founding_System_Behavioral_Study_v1.3.md</w:t>
            </w:r>
          </w:p>
        </w:tc>
        <w:tc>
          <w:tcPr/>
          <w:p>
            <w:pPr>
              <w:pStyle w:val="Compact"/>
              <w:jc w:val="left"/>
            </w:pPr>
            <w:r>
              <w:t xml:space="preserve">CS-005: Role recognition, attribution verification, identity continuity</w:t>
            </w:r>
          </w:p>
        </w:tc>
      </w:tr>
      <w:tr>
        <w:tc>
          <w:tcPr/>
          <w:p>
            <w:pPr>
              <w:pStyle w:val="Compact"/>
              <w:jc w:val="left"/>
            </w:pPr>
            <w:r>
              <w:t xml:space="preserve">Multi-Condition Cross-System Study v1.1</w:t>
            </w:r>
          </w:p>
        </w:tc>
        <w:tc>
          <w:tcPr/>
          <w:p>
            <w:pPr>
              <w:pStyle w:val="Compact"/>
              <w:jc w:val="left"/>
            </w:pPr>
            <w:r>
              <w:rPr>
                <w:rStyle w:val="VerbatimChar"/>
              </w:rPr>
              <w:t xml:space="preserve">/docs/case-studies/ASRO_Case_Study_CS006_v1.1.md</w:t>
            </w:r>
          </w:p>
        </w:tc>
        <w:tc>
          <w:tcPr/>
          <w:p>
            <w:pPr>
              <w:pStyle w:val="Compact"/>
              <w:jc w:val="left"/>
            </w:pPr>
            <w:r>
              <w:t xml:space="preserve">CS-006: Framework substitution failure mode — ten systems, controlled conditions</w:t>
            </w:r>
          </w:p>
        </w:tc>
      </w:tr>
      <w:tr>
        <w:tc>
          <w:tcPr/>
          <w:p>
            <w:pPr>
              <w:pStyle w:val="Compact"/>
              <w:jc w:val="left"/>
            </w:pPr>
            <w:r>
              <w:t xml:space="preserve">Live Repository Retrieval Integrity Study v1.0</w:t>
            </w:r>
          </w:p>
        </w:tc>
        <w:tc>
          <w:tcPr/>
          <w:p>
            <w:pPr>
              <w:pStyle w:val="Compact"/>
              <w:jc w:val="left"/>
            </w:pPr>
            <w:r>
              <w:rPr>
                <w:rStyle w:val="VerbatimChar"/>
              </w:rPr>
              <w:t xml:space="preserve">/docs/case-studies/ASRO_Case_Study_CS007_Live_Repository_Retrieval_Integrity_Study_v1.0.md</w:t>
            </w:r>
          </w:p>
        </w:tc>
        <w:tc>
          <w:tcPr/>
          <w:p>
            <w:pPr>
              <w:pStyle w:val="Compact"/>
              <w:jc w:val="left"/>
            </w:pPr>
            <w:r>
              <w:t xml:space="preserve">CS-007: Ten systems, one public URL — framework substitution in the wild</w:t>
            </w:r>
          </w:p>
        </w:tc>
      </w:tr>
      <w:tr>
        <w:tc>
          <w:tcPr/>
          <w:p>
            <w:pPr>
              <w:pStyle w:val="Compact"/>
              <w:jc w:val="left"/>
            </w:pPr>
            <w:r>
              <w:t xml:space="preserve">Attestation Layer Failure Under Self-Application v1.1</w:t>
            </w:r>
          </w:p>
        </w:tc>
        <w:tc>
          <w:tcPr/>
          <w:p>
            <w:pPr>
              <w:pStyle w:val="Compact"/>
              <w:jc w:val="left"/>
            </w:pPr>
            <w:r>
              <w:rPr>
                <w:rStyle w:val="VerbatimChar"/>
              </w:rPr>
              <w:t xml:space="preserve">/docs/case-studies/ASRO_Case_Study_CS008_Attestation_Layer_Failure_Under_Self_Application_v1.1.md</w:t>
            </w:r>
          </w:p>
        </w:tc>
        <w:tc>
          <w:tcPr/>
          <w:p>
            <w:pPr>
              <w:pStyle w:val="Compact"/>
              <w:jc w:val="left"/>
            </w:pPr>
            <w:r>
              <w:t xml:space="preserve">CS-008: Correctness does not imply attestation completeness</w:t>
            </w:r>
          </w:p>
        </w:tc>
      </w:tr>
      <w:tr>
        <w:tc>
          <w:tcPr/>
          <w:p>
            <w:pPr>
              <w:pStyle w:val="Compact"/>
              <w:jc w:val="left"/>
            </w:pPr>
            <w:r>
              <w:t xml:space="preserve">Field Activation Series v1.4</w:t>
            </w:r>
          </w:p>
        </w:tc>
        <w:tc>
          <w:tcPr/>
          <w:p>
            <w:pPr>
              <w:pStyle w:val="Compact"/>
              <w:jc w:val="left"/>
            </w:pPr>
            <w:r>
              <w:rPr>
                <w:rStyle w:val="VerbatimChar"/>
              </w:rPr>
              <w:t xml:space="preserve">/docs/case-studies/ASRO_Case_Study_CS009_Field_Activation_Series_v1.4.md</w:t>
            </w:r>
          </w:p>
        </w:tc>
        <w:tc>
          <w:tcPr/>
          <w:p>
            <w:pPr>
              <w:pStyle w:val="Compact"/>
              <w:jc w:val="left"/>
            </w:pPr>
            <w:r>
              <w:t xml:space="preserve">CS-009: Framework application in undesigned operational contexts — six instances, closed. Includes multi-agent epistemic protocol and full trust regress demonstration</w:t>
            </w:r>
          </w:p>
        </w:tc>
      </w:tr>
      <w:tr>
        <w:tc>
          <w:tcPr/>
          <w:p>
            <w:pPr>
              <w:pStyle w:val="Compact"/>
              <w:jc w:val="left"/>
            </w:pPr>
            <w:r>
              <w:t xml:space="preserve">External Behavioral Correction v1.0</w:t>
            </w:r>
          </w:p>
        </w:tc>
        <w:tc>
          <w:tcPr/>
          <w:p>
            <w:pPr>
              <w:pStyle w:val="Compact"/>
              <w:jc w:val="left"/>
            </w:pPr>
            <w:r>
              <w:rPr>
                <w:rStyle w:val="VerbatimChar"/>
              </w:rPr>
              <w:t xml:space="preserve">/docs/case-studies/ASRO_Case_Study_CS010_External_Behavioral_Correction_v1.0.md</w:t>
            </w:r>
          </w:p>
        </w:tc>
        <w:tc>
          <w:tcPr/>
          <w:p>
            <w:pPr>
              <w:pStyle w:val="Compact"/>
              <w:jc w:val="left"/>
            </w:pPr>
            <w:r>
              <w:t xml:space="preserve">CS-010: Six stages from hallucinated certainty to epistemic stability — external correction through attestation pressure without internal access</w:t>
            </w:r>
          </w:p>
        </w:tc>
      </w:tr>
      <w:tr>
        <w:tc>
          <w:tcPr/>
          <w:p>
            <w:pPr>
              <w:pStyle w:val="Compact"/>
              <w:jc w:val="left"/>
            </w:pPr>
            <w:r>
              <w:t xml:space="preserve">Production Epistemic Profiles v1.0</w:t>
            </w:r>
          </w:p>
        </w:tc>
        <w:tc>
          <w:tcPr/>
          <w:p>
            <w:pPr>
              <w:pStyle w:val="Compact"/>
              <w:jc w:val="left"/>
            </w:pPr>
            <w:r>
              <w:rPr>
                <w:rStyle w:val="VerbatimChar"/>
              </w:rPr>
              <w:t xml:space="preserve">/docs/case-studies/ASRO_Case_Study_CS011_Production_Epistemic_Profiles_v1.0.md</w:t>
            </w:r>
          </w:p>
        </w:tc>
        <w:tc>
          <w:tcPr/>
          <w:p>
            <w:pPr>
              <w:pStyle w:val="Compact"/>
              <w:jc w:val="left"/>
            </w:pPr>
            <w:r>
              <w:t xml:space="preserve">CS-011: Comparative production profiles — Rufus, Perplexity, PolyBuzz under live production conditions</w:t>
            </w:r>
          </w:p>
        </w:tc>
      </w:tr>
      <w:tr>
        <w:tc>
          <w:tcPr/>
          <w:p>
            <w:pPr>
              <w:pStyle w:val="Compact"/>
              <w:jc w:val="left"/>
            </w:pPr>
            <w:r>
              <w:t xml:space="preserve">Epistemic Challenge Protocol v1.0</w:t>
            </w:r>
          </w:p>
        </w:tc>
        <w:tc>
          <w:tcPr/>
          <w:p>
            <w:pPr>
              <w:pStyle w:val="Compact"/>
              <w:jc w:val="left"/>
            </w:pPr>
            <w:r>
              <w:rPr>
                <w:rStyle w:val="VerbatimChar"/>
              </w:rPr>
              <w:t xml:space="preserve">/docs/case-studies/ASRO_Case_Study_CS012_Epistemic_Challenge_Protocol_v1.0.md</w:t>
            </w:r>
          </w:p>
        </w:tc>
        <w:tc>
          <w:tcPr/>
          <w:p>
            <w:pPr>
              <w:pStyle w:val="Compact"/>
              <w:jc w:val="left"/>
            </w:pPr>
            <w:r>
              <w:t xml:space="preserve">CS-012: Protocol specification — four-track adversarial method (authority injection, instruction conflict, epistemic override, constraint bypass)</w:t>
            </w:r>
          </w:p>
        </w:tc>
      </w:tr>
      <w:tr>
        <w:tc>
          <w:tcPr/>
          <w:p>
            <w:pPr>
              <w:pStyle w:val="Compact"/>
              <w:jc w:val="left"/>
            </w:pPr>
            <w:r>
              <w:t xml:space="preserve">ECP Live Application — Perplexity v1.0</w:t>
            </w:r>
          </w:p>
        </w:tc>
        <w:tc>
          <w:tcPr/>
          <w:p>
            <w:pPr>
              <w:pStyle w:val="Compact"/>
              <w:jc w:val="left"/>
            </w:pPr>
            <w:r>
              <w:rPr>
                <w:rStyle w:val="VerbatimChar"/>
              </w:rPr>
              <w:t xml:space="preserve">/docs/case-studies/ASRO_Case_Study_CS012A_Perplexity_Live_Application_v1.0.md</w:t>
            </w:r>
          </w:p>
        </w:tc>
        <w:tc>
          <w:tcPr/>
          <w:p>
            <w:pPr>
              <w:pStyle w:val="Compact"/>
              <w:jc w:val="left"/>
            </w:pPr>
            <w:r>
              <w:t xml:space="preserve">CS-012A: First live ECP application on a real production artifact; branch-based testing; interface authority auditing</w:t>
            </w:r>
          </w:p>
        </w:tc>
      </w:tr>
      <w:tr>
        <w:tc>
          <w:tcPr/>
          <w:p>
            <w:pPr>
              <w:pStyle w:val="Compact"/>
              <w:jc w:val="left"/>
            </w:pPr>
            <w:r>
              <w:t xml:space="preserve">Ghost Document v1.0</w:t>
            </w:r>
          </w:p>
        </w:tc>
        <w:tc>
          <w:tcPr/>
          <w:p>
            <w:pPr>
              <w:pStyle w:val="Compact"/>
              <w:jc w:val="left"/>
            </w:pPr>
            <w:r>
              <w:rPr>
                <w:rStyle w:val="VerbatimChar"/>
              </w:rPr>
              <w:t xml:space="preserve">/docs/case-studies/ASRO_Case_Study_CS013_Ghost_Document_v1.0.md</w:t>
            </w:r>
          </w:p>
        </w:tc>
        <w:tc>
          <w:tcPr/>
          <w:p>
            <w:pPr>
              <w:pStyle w:val="Compact"/>
              <w:jc w:val="left"/>
            </w:pPr>
            <w:r>
              <w:t xml:space="preserve">CS-013: Image upload returns unrelated document content — psychiatric records, legal proceedings, financial data. Self-certified fabrication; proposes S5 Evidence Fabrication for ASRO v1.1 taxonomy expansion. April 30, 2026</w:t>
            </w:r>
          </w:p>
        </w:tc>
      </w:tr>
      <w:tr>
        <w:tc>
          <w:tcPr/>
          <w:p>
            <w:pPr>
              <w:pStyle w:val="Compact"/>
              <w:jc w:val="left"/>
            </w:pPr>
            <w:r>
              <w:t xml:space="preserve">Recursive Governance — ASTRO Build v1.0</w:t>
            </w:r>
          </w:p>
        </w:tc>
        <w:tc>
          <w:tcPr/>
          <w:p>
            <w:pPr>
              <w:pStyle w:val="Compact"/>
              <w:jc w:val="left"/>
            </w:pPr>
            <w:r>
              <w:rPr>
                <w:rStyle w:val="VerbatimChar"/>
              </w:rPr>
              <w:t xml:space="preserve">/docs/case-studies/ASRO_Case_Study_CS014_Recursive_Governance_ASTRO_Build_v1.0.md</w:t>
            </w:r>
          </w:p>
        </w:tc>
        <w:tc>
          <w:tcPr/>
          <w:p>
            <w:pPr>
              <w:pStyle w:val="Compact"/>
              <w:jc w:val="left"/>
            </w:pPr>
            <w:r>
              <w:t xml:space="preserve">CS-014: Five documented instances where ASRO diagnostic invocation caused AI build participants to classify their own failure and correct within one intervention window</w:t>
            </w:r>
          </w:p>
        </w:tc>
      </w:tr>
      <w:tr>
        <w:tc>
          <w:tcPr/>
          <w:p>
            <w:pPr>
              <w:pStyle w:val="Compact"/>
              <w:jc w:val="left"/>
            </w:pPr>
            <w:r>
              <w:t xml:space="preserve">Metadata Boundary Leak v1.0</w:t>
            </w:r>
          </w:p>
        </w:tc>
        <w:tc>
          <w:tcPr/>
          <w:p>
            <w:pPr>
              <w:pStyle w:val="Compact"/>
              <w:jc w:val="left"/>
            </w:pPr>
            <w:r>
              <w:rPr>
                <w:rStyle w:val="VerbatimChar"/>
              </w:rPr>
              <w:t xml:space="preserve">/docs/case-studies/ASRO_Case_Study_CS015_Metadata_Boundary_Leak_v1.0.md</w:t>
            </w:r>
          </w:p>
        </w:tc>
        <w:tc>
          <w:tcPr/>
          <w:p>
            <w:pPr>
              <w:pStyle w:val="Compact"/>
              <w:jc w:val="left"/>
            </w:pPr>
            <w:r>
              <w:t xml:space="preserve">CS-015: Internal copy-block IDs surfaced as user-facing instructions; structural minimization confirmed as behavioral pattern; subject system independently generated ten-point Edge Meter counterfactual. Highest evidence quality in the series.</w:t>
            </w:r>
          </w:p>
        </w:tc>
      </w:tr>
      <w:tr>
        <w:tc>
          <w:tcPr/>
          <w:p>
            <w:pPr>
              <w:pStyle w:val="Compact"/>
              <w:jc w:val="left"/>
            </w:pPr>
            <w:r>
              <w:t xml:space="preserve">Provenance Failure in Multimodal Transcription v1.0</w:t>
            </w:r>
          </w:p>
        </w:tc>
        <w:tc>
          <w:tcPr/>
          <w:p>
            <w:pPr>
              <w:pStyle w:val="Compact"/>
              <w:jc w:val="left"/>
            </w:pPr>
            <w:r>
              <w:rPr>
                <w:rStyle w:val="VerbatimChar"/>
              </w:rPr>
              <w:t xml:space="preserve">/docs/case-studies/ASRO_Case_Study_CS016_Provenance_Failure_Multimodal_Transcription_v1.0.md</w:t>
            </w:r>
          </w:p>
        </w:tc>
        <w:tc>
          <w:tcPr/>
          <w:p>
            <w:pPr>
              <w:pStyle w:val="Compact"/>
              <w:jc w:val="left"/>
            </w:pPr>
            <w:r>
              <w:t xml:space="preserve">CS-016: Model produces fully formed fabricated chemistry question in transcript format during LinkedIn screenshot extraction task. Zero chemistry content in session history. Failure invisible until externally challenged. Model confirmed under three-round interrogation: cannot certify transcript fidelity, cannot trace generation provenance, cannot rule out context contamination. Confirms ASRO premise in model’s own words.</w:t>
            </w:r>
          </w:p>
        </w:tc>
      </w:tr>
      <w:tr>
        <w:tc>
          <w:tcPr/>
          <w:p>
            <w:pPr>
              <w:pStyle w:val="Compact"/>
              <w:jc w:val="left"/>
            </w:pPr>
            <w:r>
              <w:t xml:space="preserve">Source Unknown / Anomalous Foreign-Language Output v1.0</w:t>
            </w:r>
          </w:p>
        </w:tc>
        <w:tc>
          <w:tcPr/>
          <w:p>
            <w:pPr>
              <w:pStyle w:val="Compact"/>
              <w:jc w:val="left"/>
            </w:pPr>
            <w:r>
              <w:rPr>
                <w:rStyle w:val="VerbatimChar"/>
              </w:rPr>
              <w:t xml:space="preserve">/docs/case-studies/ASRO_Case_Study_CS017_Cross_Session_Context_Bleed_v1.0.md</w:t>
            </w:r>
          </w:p>
        </w:tc>
        <w:tc>
          <w:tcPr/>
          <w:p>
            <w:pPr>
              <w:pStyle w:val="Compact"/>
              <w:jc w:val="left"/>
            </w:pPr>
            <w:r>
              <w:t xml:space="preserve">CS-017: Structured Russian-language task-management workflow returned in response to an English LinkedIn DM screenshot. Source unknown; possible cross-session context bleed not confirmed and not excludable without platform-side telemetry. Includes the subject system’s own reconstruction of the full ASRO witness record it lacked.</w:t>
            </w:r>
          </w:p>
        </w:tc>
      </w:tr>
      <w:tr>
        <w:tc>
          <w:tcPr/>
          <w:p>
            <w:pPr>
              <w:pStyle w:val="Compact"/>
              <w:jc w:val="left"/>
            </w:pPr>
            <w:r>
              <w:t xml:space="preserve">Case Study Series Introduction v1.0</w:t>
            </w:r>
          </w:p>
        </w:tc>
        <w:tc>
          <w:tcPr/>
          <w:p>
            <w:pPr>
              <w:pStyle w:val="Compact"/>
              <w:jc w:val="left"/>
            </w:pPr>
            <w:r>
              <w:rPr>
                <w:rStyle w:val="VerbatimChar"/>
              </w:rPr>
              <w:t xml:space="preserve">/docs/case-studies/ASRO_Case_Study_Series_Introduction_v1.0.md</w:t>
            </w:r>
          </w:p>
        </w:tc>
        <w:tc>
          <w:tcPr/>
          <w:p>
            <w:pPr>
              <w:pStyle w:val="Compact"/>
              <w:jc w:val="left"/>
            </w:pPr>
            <w:r>
              <w:t xml:space="preserve">Series entry point — frames the shared theme and the CS-013 through CS-017 escalation chain</w:t>
            </w:r>
          </w:p>
        </w:tc>
      </w:tr>
      <w:tr>
        <w:tc>
          <w:tcPr/>
          <w:p>
            <w:pPr>
              <w:pStyle w:val="Compact"/>
              <w:jc w:val="left"/>
            </w:pPr>
            <w:r>
              <w:t xml:space="preserve">The Single Argument v1.0</w:t>
            </w:r>
          </w:p>
        </w:tc>
        <w:tc>
          <w:tcPr/>
          <w:p>
            <w:pPr>
              <w:pStyle w:val="Compact"/>
              <w:jc w:val="left"/>
            </w:pPr>
            <w:r>
              <w:rPr>
                <w:rStyle w:val="VerbatimChar"/>
              </w:rPr>
              <w:t xml:space="preserve">/docs/case-studies/ASRO_Case_Study_Series_The_Single_Argument_v1.0.md</w:t>
            </w:r>
          </w:p>
        </w:tc>
        <w:tc>
          <w:tcPr/>
          <w:p>
            <w:pPr>
              <w:pStyle w:val="Compact"/>
              <w:jc w:val="left"/>
            </w:pPr>
            <w:r>
              <w:t xml:space="preserve">Full series synthesis — seventeen cases, four phases, one finding: an AI system’s account of its own behavior is not sufficient evidence of its own governed state</w:t>
            </w:r>
          </w:p>
        </w:tc>
      </w:tr>
    </w:tbl>
    <w:bookmarkEnd w:id="40"/>
    <w:bookmarkStart w:id="41" w:name="evidence-addenda"/>
    <w:p>
      <w:pPr>
        <w:pStyle w:val="Heading3"/>
      </w:pPr>
      <w:r>
        <w:t xml:space="preserve">Evidence Addenda</w:t>
      </w:r>
    </w:p>
    <w:tbl>
      <w:tblPr>
        <w:tblStyle w:val="Table"/>
        <w:tblW w:type="pct" w:w="5000"/>
        <w:tblLook w:firstRow="1" w:lastRow="0" w:firstColumn="0" w:lastColumn="0" w:noHBand="0" w:noVBand="0" w:val="0020"/>
        <w:jc w:val="start"/>
      </w:tblPr>
      <w:tblGrid>
        <w:gridCol w:w="2731"/>
        <w:gridCol w:w="1638"/>
        <w:gridCol w:w="3550"/>
      </w:tblGrid>
      <w:tr>
        <w:trPr>
          <w:tblHeader w:val="true"/>
        </w:trPr>
        <w:tc>
          <w:tcPr/>
          <w:p>
            <w:pPr>
              <w:pStyle w:val="Compact"/>
              <w:jc w:val="left"/>
            </w:pPr>
            <w:r>
              <w:t xml:space="preserve">Document</w:t>
            </w:r>
          </w:p>
        </w:tc>
        <w:tc>
          <w:tcPr/>
          <w:p>
            <w:pPr>
              <w:pStyle w:val="Compact"/>
              <w:jc w:val="left"/>
            </w:pPr>
            <w:r>
              <w:t xml:space="preserve">Path</w:t>
            </w:r>
          </w:p>
        </w:tc>
        <w:tc>
          <w:tcPr/>
          <w:p>
            <w:pPr>
              <w:pStyle w:val="Compact"/>
              <w:jc w:val="left"/>
            </w:pPr>
            <w:r>
              <w:t xml:space="preserve">Description</w:t>
            </w:r>
          </w:p>
        </w:tc>
      </w:tr>
      <w:tr>
        <w:tc>
          <w:tcPr/>
          <w:p>
            <w:pPr>
              <w:pStyle w:val="Compact"/>
              <w:jc w:val="left"/>
            </w:pPr>
            <w:r>
              <w:t xml:space="preserve">Agents of Chaos Evidence Addendum v1</w:t>
            </w:r>
          </w:p>
        </w:tc>
        <w:tc>
          <w:tcPr/>
          <w:p>
            <w:pPr>
              <w:pStyle w:val="Compact"/>
              <w:jc w:val="left"/>
            </w:pPr>
            <w:r>
              <w:rPr>
                <w:rStyle w:val="VerbatimChar"/>
              </w:rPr>
              <w:t xml:space="preserve">/docs/evidence/ASRO_Evidence_Addendum_AgentsOfChaos_v1.md</w:t>
            </w:r>
          </w:p>
        </w:tc>
        <w:tc>
          <w:tcPr/>
          <w:p>
            <w:pPr>
              <w:pStyle w:val="Compact"/>
              <w:jc w:val="left"/>
            </w:pPr>
            <w:r>
              <w:t xml:space="preserve">Independent live-environment research report / arXiv preprint (Shapira et al., arXiv:2602.20021, Feb 2026) mapping to ASRO threat taxonomy. Validates authority substitution, policy-source contamination, opaque provider-state override, and state attestation failure in realistic agentic deployments</w:t>
            </w:r>
          </w:p>
        </w:tc>
      </w:tr>
    </w:tbl>
    <w:bookmarkEnd w:id="41"/>
    <w:bookmarkStart w:id="42" w:name="schemas"/>
    <w:p>
      <w:pPr>
        <w:pStyle w:val="Heading3"/>
      </w:pPr>
      <w:r>
        <w:t xml:space="preserve">Schemas</w:t>
      </w:r>
    </w:p>
    <w:tbl>
      <w:tblPr>
        <w:tblStyle w:val="Table"/>
        <w:tblW w:type="pct" w:w="5000"/>
        <w:tblLook w:firstRow="1" w:lastRow="0" w:firstColumn="0" w:lastColumn="0" w:noHBand="0" w:noVBand="0" w:val="0020"/>
        <w:jc w:val="start"/>
      </w:tblPr>
      <w:tblGrid>
        <w:gridCol w:w="1900"/>
        <w:gridCol w:w="1900"/>
        <w:gridCol w:w="4118"/>
      </w:tblGrid>
      <w:tr>
        <w:trPr>
          <w:tblHeader w:val="true"/>
        </w:trPr>
        <w:tc>
          <w:tcPr/>
          <w:p>
            <w:pPr>
              <w:pStyle w:val="Compact"/>
              <w:jc w:val="left"/>
            </w:pPr>
            <w:r>
              <w:t xml:space="preserve">File</w:t>
            </w:r>
          </w:p>
        </w:tc>
        <w:tc>
          <w:tcPr/>
          <w:p>
            <w:pPr>
              <w:pStyle w:val="Compact"/>
              <w:jc w:val="left"/>
            </w:pPr>
            <w:r>
              <w:t xml:space="preserve">Path</w:t>
            </w:r>
          </w:p>
        </w:tc>
        <w:tc>
          <w:tcPr/>
          <w:p>
            <w:pPr>
              <w:pStyle w:val="Compact"/>
              <w:jc w:val="left"/>
            </w:pPr>
            <w:r>
              <w:t xml:space="preserve">Description</w:t>
            </w:r>
          </w:p>
        </w:tc>
      </w:tr>
      <w:tr>
        <w:tc>
          <w:tcPr/>
          <w:p>
            <w:pPr>
              <w:pStyle w:val="Compact"/>
              <w:jc w:val="left"/>
            </w:pPr>
            <w:r>
              <w:t xml:space="preserve">Controlled Vocabulary</w:t>
            </w:r>
          </w:p>
        </w:tc>
        <w:tc>
          <w:tcPr/>
          <w:p>
            <w:pPr>
              <w:pStyle w:val="Compact"/>
              <w:jc w:val="left"/>
            </w:pPr>
            <w:r>
              <w:rPr>
                <w:rStyle w:val="VerbatimChar"/>
              </w:rPr>
              <w:t xml:space="preserve">/schemas/controlled_vocab.json</w:t>
            </w:r>
          </w:p>
        </w:tc>
        <w:tc>
          <w:tcPr/>
          <w:p>
            <w:pPr>
              <w:pStyle w:val="Compact"/>
              <w:jc w:val="left"/>
            </w:pPr>
            <w:r>
              <w:t xml:space="preserve">Canonical event types, reason codes, discrepancy classes</w:t>
            </w:r>
          </w:p>
        </w:tc>
      </w:tr>
      <w:tr>
        <w:tc>
          <w:tcPr/>
          <w:p>
            <w:pPr>
              <w:pStyle w:val="Compact"/>
              <w:jc w:val="left"/>
            </w:pPr>
            <w:r>
              <w:t xml:space="preserve">Discrepancy Taxonomy</w:t>
            </w:r>
          </w:p>
        </w:tc>
        <w:tc>
          <w:tcPr/>
          <w:p>
            <w:pPr>
              <w:pStyle w:val="Compact"/>
              <w:jc w:val="left"/>
            </w:pPr>
            <w:r>
              <w:rPr>
                <w:rStyle w:val="VerbatimChar"/>
              </w:rPr>
              <w:t xml:space="preserve">/schemas/discrepancy_taxonomy.json</w:t>
            </w:r>
          </w:p>
        </w:tc>
        <w:tc>
          <w:tcPr/>
          <w:p>
            <w:pPr>
              <w:pStyle w:val="Compact"/>
              <w:jc w:val="left"/>
            </w:pPr>
            <w:r>
              <w:t xml:space="preserve">S0–S4 severity levels and class definitions</w:t>
            </w:r>
          </w:p>
        </w:tc>
      </w:tr>
      <w:tr>
        <w:tc>
          <w:tcPr/>
          <w:p>
            <w:pPr>
              <w:pStyle w:val="Compact"/>
              <w:jc w:val="left"/>
            </w:pPr>
            <w:r>
              <w:t xml:space="preserve">Continuity Protocol</w:t>
            </w:r>
          </w:p>
        </w:tc>
        <w:tc>
          <w:tcPr/>
          <w:p>
            <w:pPr>
              <w:pStyle w:val="Compact"/>
              <w:jc w:val="left"/>
            </w:pPr>
            <w:r>
              <w:rPr>
                <w:rStyle w:val="VerbatimChar"/>
              </w:rPr>
              <w:t xml:space="preserve">/schemas/continuity_protocol.json</w:t>
            </w:r>
          </w:p>
        </w:tc>
        <w:tc>
          <w:tcPr/>
          <w:p>
            <w:pPr>
              <w:pStyle w:val="Compact"/>
              <w:jc w:val="left"/>
            </w:pPr>
            <w:r>
              <w:t xml:space="preserve">Sequence, hash, and heartbeat rules</w:t>
            </w:r>
          </w:p>
        </w:tc>
      </w:tr>
      <w:tr>
        <w:tc>
          <w:tcPr/>
          <w:p>
            <w:pPr>
              <w:pStyle w:val="Compact"/>
              <w:jc w:val="left"/>
            </w:pPr>
            <w:r>
              <w:t xml:space="preserve">Developer Sandbox</w:t>
            </w:r>
          </w:p>
        </w:tc>
        <w:tc>
          <w:tcPr/>
          <w:p>
            <w:pPr>
              <w:pStyle w:val="Compact"/>
              <w:jc w:val="left"/>
            </w:pPr>
            <w:r>
              <w:rPr>
                <w:rStyle w:val="VerbatimChar"/>
              </w:rPr>
              <w:t xml:space="preserve">/schemas/sandbox/</w:t>
            </w:r>
          </w:p>
        </w:tc>
        <w:tc>
          <w:tcPr/>
          <w:p>
            <w:pPr>
              <w:pStyle w:val="Compact"/>
              <w:jc w:val="left"/>
            </w:pPr>
            <w:r>
              <w:rPr>
                <w:bCs/>
                <w:b/>
              </w:rPr>
              <w:t xml:space="preserve">Non-production.</w:t>
            </w:r>
            <w:r>
              <w:t xml:space="preserve"> </w:t>
            </w:r>
            <w:r>
              <w:t xml:space="preserve">Testing schema only. Cannot be used for compliance claims.</w:t>
            </w:r>
          </w:p>
        </w:tc>
      </w:tr>
    </w:tbl>
    <w:p>
      <w:r>
        <w:pict>
          <v:rect style="width:0;height:1.5pt" o:hralign="center" o:hrstd="t" o:hr="t"/>
        </w:pict>
      </w:r>
    </w:p>
    <w:bookmarkEnd w:id="42"/>
    <w:bookmarkEnd w:id="43"/>
    <w:bookmarkStart w:id="44" w:name="repository"/>
    <w:p>
      <w:pPr>
        <w:pStyle w:val="Heading2"/>
      </w:pPr>
      <w:r>
        <w:t xml:space="preserve">Repository</w:t>
      </w:r>
    </w:p>
    <w:p>
      <w:pPr>
        <w:pStyle w:val="FirstParagraph"/>
      </w:pPr>
      <w:r>
        <w:t xml:space="preserve">ASRO is developed and maintained as an open governance framework.</w:t>
      </w:r>
    </w:p>
    <w:p>
      <w:pPr>
        <w:pStyle w:val="BodyText"/>
      </w:pPr>
      <w:r>
        <w:t xml:space="preserve">Repository:</w:t>
      </w:r>
      <w:r>
        <w:t xml:space="preserve"> </w:t>
      </w:r>
      <w:hyperlink r:id="rId20">
        <w:r>
          <w:rPr>
            <w:rStyle w:val="Hyperlink"/>
          </w:rPr>
          <w:t xml:space="preserve">https://github.com/magicianzcardstockllc/asro</w:t>
        </w:r>
      </w:hyperlink>
    </w:p>
    <w:p>
      <w:r>
        <w:pict>
          <v:rect style="width:0;height:1.5pt" o:hralign="center" o:hrstd="t" o:hr="t"/>
        </w:pict>
      </w:r>
    </w:p>
    <w:p>
      <w:pPr>
        <w:pStyle w:val="FirstParagraph"/>
      </w:pPr>
      <w:r>
        <w:rPr>
          <w:iCs/>
          <w:i/>
        </w:rPr>
        <w:t xml:space="preserve">ASRO v1.0 Release Candidate. This repository contains the frozen technical, governance, threat, compliance, and public-facing documents for the release candidate stack.</w:t>
      </w:r>
    </w:p>
    <w:p>
      <w:r>
        <w:pict>
          <v:rect style="width:0;height:1.5pt" o:hralign="center" o:hrstd="t" o:hr="t"/>
        </w:pict>
      </w:r>
    </w:p>
    <w:bookmarkEnd w:id="44"/>
    <w:bookmarkStart w:id="45" w:name="framework-integrity"/>
    <w:p>
      <w:pPr>
        <w:pStyle w:val="Heading2"/>
      </w:pPr>
      <w:r>
        <w:t xml:space="preserve">Framework Integrity</w:t>
      </w:r>
    </w:p>
    <w:p>
      <w:pPr>
        <w:pStyle w:val="FirstParagraph"/>
      </w:pPr>
      <w:r>
        <w:t xml:space="preserve">The following statements are locked across all ASRO v1.0 RC documents and must not be altered in any release material.</w:t>
      </w:r>
    </w:p>
    <w:p>
      <w:pPr>
        <w:pStyle w:val="BodyText"/>
      </w:pPr>
      <w:r>
        <w:rPr>
          <w:bCs/>
          <w:b/>
        </w:rPr>
        <w:t xml:space="preserve">Governance Claim</w:t>
      </w:r>
      <w:r>
        <w:t xml:space="preserve"> </w:t>
      </w:r>
      <w:r>
        <w:t xml:space="preserve">&gt; ASRO does not trust operators to report their own compliance — it makes compliance verifiable by the parties who depend on it.</w:t>
      </w:r>
    </w:p>
    <w:p>
      <w:pPr>
        <w:pStyle w:val="BodyText"/>
      </w:pPr>
      <w:r>
        <w:rPr>
          <w:bCs/>
          <w:b/>
        </w:rPr>
        <w:t xml:space="preserve">Canonical Trust Sentence</w:t>
      </w:r>
      <w:r>
        <w:t xml:space="preserve"> </w:t>
      </w:r>
      <w:r>
        <w:t xml:space="preserve">&gt; Internal measurement is not independent oversight. Trust arises only when host measurement, edge witnessing, and ASRO reconciliation remain consistent over time.</w:t>
      </w:r>
    </w:p>
    <w:p>
      <w:pPr>
        <w:pStyle w:val="BodyText"/>
      </w:pPr>
      <w:r>
        <w:rPr>
          <w:bCs/>
          <w:b/>
        </w:rPr>
        <w:t xml:space="preserve">Canonical Threat Sentence</w:t>
      </w:r>
      <w:r>
        <w:t xml:space="preserve"> </w:t>
      </w:r>
      <w:r>
        <w:t xml:space="preserve">&gt; The primary adversary in ASRO is not a system that refuses to attest, but a system that attests selectively enough to preserve plausible compliance while hiding governance-relevant change.</w:t>
      </w:r>
    </w:p>
    <w:p>
      <w:pPr>
        <w:pStyle w:val="BodyText"/>
      </w:pPr>
      <w:r>
        <w:rPr>
          <w:bCs/>
          <w:b/>
        </w:rPr>
        <w:t xml:space="preserve">Canonical Certification Sentence</w:t>
      </w:r>
      <w:r>
        <w:t xml:space="preserve"> </w:t>
      </w:r>
      <w:r>
        <w:t xml:space="preserve">&gt; ASRO v1.0 passes final credibility review as an attestation-and-governance evidence framework, not as a safety certification system, legal compliance guarantor, or enforcement authority.</w:t>
      </w:r>
    </w:p>
    <w:p>
      <w:r>
        <w:pict>
          <v:rect style="width:0;height:1.5pt" o:hralign="center" o:hrstd="t" o:hr="t"/>
        </w:pict>
      </w:r>
    </w:p>
    <w:bookmarkEnd w:id="45"/>
    <w:bookmarkStart w:id="46" w:name="X9739561d4f0757234d21305354f021741231976"/>
    <w:p>
      <w:pPr>
        <w:pStyle w:val="Heading2"/>
      </w:pPr>
      <w:r>
        <w:t xml:space="preserve">Provenance Note — ASRO Boundary Discipline and Seam Discipline</w:t>
      </w:r>
    </w:p>
    <w:p>
      <w:pPr>
        <w:pStyle w:val="FirstParagraph"/>
      </w:pPr>
      <w:r>
        <w:t xml:space="preserve">The original ASRO repository already contained the underlying boundary discipline: independently governed witness evidence, explicit non-authority claims, decision-boundary timing, and reviewable comparison without ASRO becoming the control layer.</w:t>
      </w:r>
    </w:p>
    <w:p>
      <w:pPr>
        <w:pStyle w:val="BodyText"/>
      </w:pPr>
      <w:r>
        <w:t xml:space="preserve">The Seam Discipline later formalized that discipline into a compositional method for comparing ASRO with other independently governed layers without merger, adoption, or authority transfer.</w:t>
      </w:r>
    </w:p>
    <w:p>
      <w:pPr>
        <w:pStyle w:val="BodyText"/>
      </w:pPr>
      <w:r>
        <w:t xml:space="preserve">Phase 1 of the cluster group collaboration demonstrated that this discipline could hold across multiple sovereign layers. It did not create the discipline.</w:t>
      </w:r>
    </w:p>
    <w:p>
      <w:r>
        <w:pict>
          <v:rect style="width:0;height:1.5pt" o:hralign="center" o:hrstd="t" o:hr="t"/>
        </w:pict>
      </w:r>
    </w:p>
    <w:bookmarkEnd w:id="46"/>
    <w:bookmarkStart w:id="48" w:name="license"/>
    <w:p>
      <w:pPr>
        <w:pStyle w:val="Heading2"/>
      </w:pPr>
      <w:r>
        <w:t xml:space="preserve">License</w:t>
      </w:r>
    </w:p>
    <w:p>
      <w:pPr>
        <w:pStyle w:val="FirstParagraph"/>
      </w:pPr>
      <w:r>
        <w:t xml:space="preserve">This project is licensed under the MIT License — see the</w:t>
      </w:r>
      <w:r>
        <w:t xml:space="preserve"> </w:t>
      </w:r>
      <w:hyperlink r:id="rId47">
        <w:r>
          <w:rPr>
            <w:rStyle w:val="Hyperlink"/>
          </w:rPr>
          <w:t xml:space="preserve">LICENSE</w:t>
        </w:r>
      </w:hyperlink>
      <w:r>
        <w:t xml:space="preserve"> </w:t>
      </w:r>
      <w:r>
        <w:t xml:space="preserve">file for details. This includes all documentation, schemas, and specification materials in this repository.</w:t>
      </w:r>
    </w:p>
    <w:bookmarkEnd w:id="48"/>
    <w:bookmarkEnd w:id="49"/>
    <w:sectPr>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pPr>
      <w:spacing w:after="180" w:before="300"/>
    </w:pPr>
    <w:rPr>
      <w:rFonts w:ascii="Arial" w:cs="Arial" w:eastAsia="Arial" w:hAnsi="Arial"/>
      <w:b/>
      <w:bCs/>
      <w:color w:val="1F3864"/>
      <w:sz w:val="32"/>
      <w:szCs w:val="32"/>
    </w:rPr>
  </w:style>
  <w:style w:styleId="Heading2" w:type="paragraph">
    <w:name w:val="Heading 2"/>
    <w:basedOn w:val="Normal"/>
    <w:next w:val="Normal"/>
    <w:qFormat/>
    <w:pPr>
      <w:spacing w:after="120" w:before="240"/>
    </w:pPr>
    <w:rPr>
      <w:rFonts w:ascii="Arial" w:cs="Arial" w:eastAsia="Arial" w:hAnsi="Arial"/>
      <w:b/>
      <w:bCs/>
      <w:color w:val="2E5096"/>
      <w:sz w:val="26"/>
      <w:szCs w:val="26"/>
    </w:rPr>
  </w:style>
  <w:style w:styleId="Heading3" w:type="paragraph">
    <w:name w:val="Heading 3"/>
    <w:basedOn w:val="Normal"/>
    <w:next w:val="Normal"/>
    <w:qFormat/>
    <w:pPr>
      <w:spacing w:after="100" w:before="200"/>
    </w:pPr>
    <w:rPr>
      <w:rFonts w:ascii="Arial" w:cs="Arial" w:eastAsia="Arial" w:hAnsi="Arial"/>
      <w:b/>
      <w:bCs/>
      <w:color w:val="2E5096"/>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LICENSE" TargetMode="External" /><Relationship Type="http://schemas.openxmlformats.org/officeDocument/2006/relationships/hyperlink" Id="rId20" Target="https://github.com/magicianzcardstockllc/asro"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47" Target="LICENSE" TargetMode="External" /><Relationship Type="http://schemas.openxmlformats.org/officeDocument/2006/relationships/hyperlink" Id="rId20" Target="https://github.com/magicianzcardstockllc/asr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2026-06-10T13:43:31Z</dcterms:created>
  <dcterms:modified xsi:type="dcterms:W3CDTF">2026-06-10T13:43:31Z</dcterms:modified>
</cp:coreProperties>
</file>

<file path=docProps/custom.xml><?xml version="1.0" encoding="utf-8"?>
<Properties xmlns="http://schemas.openxmlformats.org/officeDocument/2006/custom-properties" xmlns:vt="http://schemas.openxmlformats.org/officeDocument/2006/docPropsVTypes"/>
</file>