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Credibility Pass Report v1.0</w:t>
      </w:r>
    </w:p>
    <w:p>
      <w:pPr>
        <w:spacing w:after="6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 | Final Quality Certification</w:t>
      </w:r>
    </w:p>
    <w:p>
      <w:pPr>
        <w:spacing w:after="6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60"/>
      </w:pPr>
      <w:r>
        <w:rPr>
          <w:rFonts w:ascii="Arial" w:cs="Arial" w:eastAsia="Arial" w:hAnsi="Arial"/>
          <w:b/>
          <w:bCs/>
          <w:sz w:val="22"/>
          <w:szCs w:val="22"/>
        </w:rPr>
        <w:t xml:space="preserve">Cross-references:</w:t>
      </w:r>
      <w:r>
        <w:rPr>
          <w:rFonts w:ascii="Arial" w:cs="Arial" w:eastAsia="Arial" w:hAnsi="Arial"/>
          <w:sz w:val="22"/>
          <w:szCs w:val="22"/>
        </w:rPr>
        <w:t xml:space="preserve"> All ASRO v1.0 RC documents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Purpose</w:t>
      </w:r>
    </w:p>
    <w:p>
      <w:pPr>
        <w:spacing w:after="60"/>
      </w:pPr>
    </w:p>
    <w:p>
      <w:pPr>
        <w:spacing w:after="120"/>
      </w:pPr>
      <w:r>
        <w:rPr>
          <w:rFonts w:ascii="Arial" w:cs="Arial" w:eastAsia="Arial" w:hAnsi="Arial"/>
          <w:sz w:val="22"/>
          <w:szCs w:val="22"/>
        </w:rPr>
        <w:t xml:space="preserve">This report is the final quality gate for the ASRO v1.0 Release Candidate. It certifies whether the full document stack overclaims authority, overclaims safety, overclaims legal effect, leaves any known unmitigated high-risk governance attack path open, blurs compliance tiers, or permits badge or audit theater.</w:t>
      </w:r>
    </w:p>
    <w:p>
      <w:pPr>
        <w:spacing w:after="60"/>
      </w:pPr>
    </w:p>
    <w:p>
      <w:pPr>
        <w:spacing w:after="120"/>
      </w:pPr>
      <w:r>
        <w:rPr>
          <w:rFonts w:ascii="Arial" w:cs="Arial" w:eastAsia="Arial" w:hAnsi="Arial"/>
          <w:sz w:val="22"/>
          <w:szCs w:val="22"/>
        </w:rPr>
        <w:t xml:space="preserve">This report was produced through multi-system adversarial review across five independent systems over multiple review rounds. Each finding was surfaced, addressed, and verified before the stack advanced.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Scope Reviewed</w:t>
      </w:r>
    </w:p>
    <w:p>
      <w:pPr>
        <w:spacing w:after="60"/>
      </w:pPr>
    </w:p>
    <w:p>
      <w:pPr>
        <w:spacing w:after="120"/>
      </w:pPr>
      <w:r>
        <w:rPr>
          <w:rFonts w:ascii="Arial" w:cs="Arial" w:eastAsia="Arial" w:hAnsi="Arial"/>
          <w:sz w:val="22"/>
          <w:szCs w:val="22"/>
        </w:rPr>
        <w:t xml:space="preserve">The credibility pass evaluates the following artifacts as a single integrated evidence stack:</w:t>
      </w:r>
    </w:p>
    <w:p>
      <w:pPr>
        <w:spacing w:after="60"/>
      </w:pPr>
    </w:p>
    <w:p>
      <w:pPr>
        <w:spacing w:after="60"/>
      </w:pPr>
      <w:r>
        <w:rPr>
          <w:rFonts w:ascii="Arial" w:cs="Arial" w:eastAsia="Arial" w:hAnsi="Arial"/>
          <w:b/>
          <w:bCs/>
          <w:sz w:val="22"/>
          <w:szCs w:val="22"/>
        </w:rPr>
        <w:t xml:space="preserve">Technical:</w:t>
      </w:r>
    </w:p>
    <w:p>
      <w:pPr>
        <w:pStyle w:val="ListParagraph"/>
        <w:numPr>
          <w:ilvl w:val="0"/>
          <w:numId w:val="2"/>
        </w:numPr>
      </w:pPr>
      <w:r>
        <w:rPr>
          <w:rFonts w:ascii="Courier New" w:cs="Courier New" w:eastAsia="Courier New" w:hAnsi="Courier New"/>
          <w:color w:val="C7254E"/>
          <w:sz w:val="20"/>
          <w:szCs w:val="20"/>
        </w:rPr>
        <w:t xml:space="preserve">/spec/MAS_v1.1_Unified.md</w:t>
      </w:r>
      <w:r>
        <w:rPr>
          <w:rFonts w:ascii="Arial" w:cs="Arial" w:eastAsia="Arial" w:hAnsi="Arial"/>
          <w:sz w:val="22"/>
          <w:szCs w:val="22"/>
        </w:rPr>
        <w:t xml:space="preserve"> — Meter Agent Specification v1.1</w:t>
      </w:r>
    </w:p>
    <w:p>
      <w:pPr>
        <w:pStyle w:val="ListParagraph"/>
        <w:numPr>
          <w:ilvl w:val="0"/>
          <w:numId w:val="2"/>
        </w:numPr>
      </w:pPr>
      <w:r>
        <w:rPr>
          <w:rFonts w:ascii="Courier New" w:cs="Courier New" w:eastAsia="Courier New" w:hAnsi="Courier New"/>
          <w:color w:val="C7254E"/>
          <w:sz w:val="20"/>
          <w:szCs w:val="20"/>
        </w:rPr>
        <w:t xml:space="preserve">/docs/Technical_Annex_v1.0.md</w:t>
      </w:r>
      <w:r>
        <w:rPr>
          <w:rFonts w:ascii="Arial" w:cs="Arial" w:eastAsia="Arial" w:hAnsi="Arial"/>
          <w:sz w:val="22"/>
          <w:szCs w:val="22"/>
        </w:rPr>
        <w:t xml:space="preserve"> — Implementation architecture and deployment patterns</w:t>
      </w:r>
    </w:p>
    <w:p>
      <w:pPr>
        <w:pStyle w:val="ListParagraph"/>
        <w:numPr>
          <w:ilvl w:val="0"/>
          <w:numId w:val="2"/>
        </w:numPr>
      </w:pP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 Attack surfaces and mitigations</w:t>
      </w:r>
    </w:p>
    <w:p>
      <w:pPr>
        <w:spacing w:after="60"/>
      </w:pPr>
    </w:p>
    <w:p>
      <w:pPr>
        <w:spacing w:after="60"/>
      </w:pPr>
      <w:r>
        <w:rPr>
          <w:rFonts w:ascii="Arial" w:cs="Arial" w:eastAsia="Arial" w:hAnsi="Arial"/>
          <w:b/>
          <w:bCs/>
          <w:sz w:val="22"/>
          <w:szCs w:val="22"/>
        </w:rPr>
        <w:t xml:space="preserve">Governance:</w:t>
      </w:r>
    </w:p>
    <w:p>
      <w:pPr>
        <w:pStyle w:val="ListParagraph"/>
        <w:numPr>
          <w:ilvl w:val="0"/>
          <w:numId w:val="2"/>
        </w:numPr>
      </w:pPr>
      <w:r>
        <w:rPr>
          <w:rFonts w:ascii="Courier New" w:cs="Courier New" w:eastAsia="Courier New" w:hAnsi="Courier New"/>
          <w:color w:val="C7254E"/>
          <w:sz w:val="20"/>
          <w:szCs w:val="20"/>
        </w:rPr>
        <w:t xml:space="preserve">/governance/Governance_Rationale_v1.1.md</w:t>
      </w:r>
      <w:r>
        <w:rPr>
          <w:rFonts w:ascii="Arial" w:cs="Arial" w:eastAsia="Arial" w:hAnsi="Arial"/>
          <w:sz w:val="22"/>
          <w:szCs w:val="22"/>
        </w:rPr>
        <w:t xml:space="preserve"> — Policy foundation and adoption logic</w:t>
      </w:r>
    </w:p>
    <w:p>
      <w:pPr>
        <w:pStyle w:val="ListParagraph"/>
        <w:numPr>
          <w:ilvl w:val="0"/>
          <w:numId w:val="2"/>
        </w:numPr>
      </w:pPr>
      <w:r>
        <w:rPr>
          <w:rFonts w:ascii="Courier New" w:cs="Courier New" w:eastAsia="Courier New" w:hAnsi="Courier New"/>
          <w:color w:val="C7254E"/>
          <w:sz w:val="20"/>
          <w:szCs w:val="20"/>
        </w:rPr>
        <w:t xml:space="preserve">/governance/Governance_Response_Protocol_v1.0.md</w:t>
      </w:r>
      <w:r>
        <w:rPr>
          <w:rFonts w:ascii="Arial" w:cs="Arial" w:eastAsia="Arial" w:hAnsi="Arial"/>
          <w:sz w:val="22"/>
          <w:szCs w:val="22"/>
        </w:rPr>
        <w:t xml:space="preserve"> — Reviewer roles and response procedures</w:t>
      </w:r>
    </w:p>
    <w:p>
      <w:pPr>
        <w:pStyle w:val="ListParagraph"/>
        <w:numPr>
          <w:ilvl w:val="0"/>
          <w:numId w:val="2"/>
        </w:numPr>
      </w:pPr>
      <w:r>
        <w:rPr>
          <w:rFonts w:ascii="Courier New" w:cs="Courier New" w:eastAsia="Courier New" w:hAnsi="Courier New"/>
          <w:color w:val="C7254E"/>
          <w:sz w:val="20"/>
          <w:szCs w:val="20"/>
        </w:rPr>
        <w:t xml:space="preserve">/governance/Threat_Classification_Framework_v1.0.md</w:t>
      </w:r>
      <w:r>
        <w:rPr>
          <w:rFonts w:ascii="Arial" w:cs="Arial" w:eastAsia="Arial" w:hAnsi="Arial"/>
          <w:sz w:val="22"/>
          <w:szCs w:val="22"/>
        </w:rPr>
        <w:t xml:space="preserve"> — Governance significance ranking</w:t>
      </w:r>
    </w:p>
    <w:p>
      <w:pPr>
        <w:spacing w:after="60"/>
      </w:pPr>
    </w:p>
    <w:p>
      <w:pPr>
        <w:spacing w:after="60"/>
      </w:pPr>
      <w:r>
        <w:rPr>
          <w:rFonts w:ascii="Arial" w:cs="Arial" w:eastAsia="Arial" w:hAnsi="Arial"/>
          <w:b/>
          <w:bCs/>
          <w:sz w:val="22"/>
          <w:szCs w:val="22"/>
        </w:rPr>
        <w:t xml:space="preserve">Compliance and Public:</w:t>
      </w:r>
    </w:p>
    <w:p>
      <w:pPr>
        <w:pStyle w:val="ListParagraph"/>
        <w:numPr>
          <w:ilvl w:val="0"/>
          <w:numId w:val="2"/>
        </w:numPr>
      </w:pPr>
      <w:r>
        <w:rPr>
          <w:rFonts w:ascii="Courier New" w:cs="Courier New" w:eastAsia="Courier New" w:hAnsi="Courier New"/>
          <w:color w:val="C7254E"/>
          <w:sz w:val="20"/>
          <w:szCs w:val="20"/>
        </w:rPr>
        <w:t xml:space="preserve">/compliance/Implementation_Readiness_Checklist_v1.0.md</w:t>
      </w:r>
    </w:p>
    <w:p>
      <w:pPr>
        <w:pStyle w:val="ListParagraph"/>
        <w:numPr>
          <w:ilvl w:val="0"/>
          <w:numId w:val="2"/>
        </w:numPr>
      </w:pPr>
      <w:r>
        <w:rPr>
          <w:rFonts w:ascii="Courier New" w:cs="Courier New" w:eastAsia="Courier New" w:hAnsi="Courier New"/>
          <w:color w:val="C7254E"/>
          <w:sz w:val="20"/>
          <w:szCs w:val="20"/>
        </w:rPr>
        <w:t xml:space="preserve">/docs/ASRO_Trust_Badge_Spec_v1.0.md</w:t>
      </w:r>
    </w:p>
    <w:p>
      <w:pPr>
        <w:pStyle w:val="ListParagraph"/>
        <w:numPr>
          <w:ilvl w:val="0"/>
          <w:numId w:val="2"/>
        </w:numPr>
      </w:pPr>
      <w:r>
        <w:rPr>
          <w:rFonts w:ascii="Courier New" w:cs="Courier New" w:eastAsia="Courier New" w:hAnsi="Courier New"/>
          <w:color w:val="C7254E"/>
          <w:sz w:val="20"/>
          <w:szCs w:val="20"/>
        </w:rPr>
        <w:t xml:space="preserve">/README.md</w:t>
      </w:r>
    </w:p>
    <w:p>
      <w:pPr>
        <w:spacing w:after="60"/>
      </w:pPr>
    </w:p>
    <w:p>
      <w:pPr>
        <w:spacing w:after="60"/>
      </w:pPr>
      <w:r>
        <w:rPr>
          <w:rFonts w:ascii="Arial" w:cs="Arial" w:eastAsia="Arial" w:hAnsi="Arial"/>
          <w:b/>
          <w:bCs/>
          <w:sz w:val="22"/>
          <w:szCs w:val="22"/>
        </w:rPr>
        <w:t xml:space="preserve">Schemas:</w:t>
      </w:r>
    </w:p>
    <w:p>
      <w:pPr>
        <w:pStyle w:val="ListParagraph"/>
        <w:numPr>
          <w:ilvl w:val="0"/>
          <w:numId w:val="2"/>
        </w:numPr>
      </w:pPr>
      <w:r>
        <w:rPr>
          <w:rFonts w:ascii="Courier New" w:cs="Courier New" w:eastAsia="Courier New" w:hAnsi="Courier New"/>
          <w:color w:val="C7254E"/>
          <w:sz w:val="20"/>
          <w:szCs w:val="20"/>
        </w:rPr>
        <w:t xml:space="preserve">/schemas/controlled_vocab.json</w:t>
      </w:r>
    </w:p>
    <w:p>
      <w:pPr>
        <w:pStyle w:val="ListParagraph"/>
        <w:numPr>
          <w:ilvl w:val="0"/>
          <w:numId w:val="2"/>
        </w:numPr>
      </w:pPr>
      <w:r>
        <w:rPr>
          <w:rFonts w:ascii="Courier New" w:cs="Courier New" w:eastAsia="Courier New" w:hAnsi="Courier New"/>
          <w:color w:val="C7254E"/>
          <w:sz w:val="20"/>
          <w:szCs w:val="20"/>
        </w:rPr>
        <w:t xml:space="preserve">/schemas/discrepancy_taxonomy.json</w:t>
      </w:r>
    </w:p>
    <w:p>
      <w:pPr>
        <w:pStyle w:val="ListParagraph"/>
        <w:numPr>
          <w:ilvl w:val="0"/>
          <w:numId w:val="2"/>
        </w:numPr>
      </w:pPr>
      <w:r>
        <w:rPr>
          <w:rFonts w:ascii="Courier New" w:cs="Courier New" w:eastAsia="Courier New" w:hAnsi="Courier New"/>
          <w:color w:val="C7254E"/>
          <w:sz w:val="20"/>
          <w:szCs w:val="20"/>
        </w:rPr>
        <w:t xml:space="preserve">/schemas/continuity_protocol.json</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Findings</w:t>
      </w:r>
    </w:p>
    <w:p>
      <w:pPr>
        <w:spacing w:after="60"/>
      </w:pPr>
    </w:p>
    <w:p>
      <w:pPr>
        <w:pStyle w:val="Heading3"/>
      </w:pPr>
      <w:r>
        <w:rPr>
          <w:rFonts w:ascii="Arial" w:cs="Arial" w:eastAsia="Arial" w:hAnsi="Arial"/>
        </w:rPr>
        <w:t xml:space="preserve">Finding 1 — Enforcement Overclaim</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Earlier drafts contained language that could have implied ASRO itself determines legal compliance, imposes penalties, or functions as a quasi-regulatory body.</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The governance stack now explicitly states throughout:</w:t>
      </w:r>
    </w:p>
    <w:p>
      <w:pPr>
        <w:pStyle w:val="ListParagraph"/>
        <w:numPr>
          <w:ilvl w:val="0"/>
          <w:numId w:val="2"/>
        </w:numPr>
      </w:pPr>
      <w:r>
        <w:rPr>
          <w:rFonts w:ascii="Arial" w:cs="Arial" w:eastAsia="Arial" w:hAnsi="Arial"/>
          <w:sz w:val="22"/>
          <w:szCs w:val="22"/>
        </w:rPr>
        <w:t xml:space="preserve">ASRO produces attestation evidence</w:t>
      </w:r>
    </w:p>
    <w:p>
      <w:pPr>
        <w:pStyle w:val="ListParagraph"/>
        <w:numPr>
          <w:ilvl w:val="0"/>
          <w:numId w:val="2"/>
        </w:numPr>
      </w:pPr>
      <w:r>
        <w:rPr>
          <w:rFonts w:ascii="Arial" w:cs="Arial" w:eastAsia="Arial" w:hAnsi="Arial"/>
          <w:sz w:val="22"/>
          <w:szCs w:val="22"/>
        </w:rPr>
        <w:t xml:space="preserve">Authorized reviewers produce review findings</w:t>
      </w:r>
    </w:p>
    <w:p>
      <w:pPr>
        <w:pStyle w:val="ListParagraph"/>
        <w:numPr>
          <w:ilvl w:val="0"/>
          <w:numId w:val="2"/>
        </w:numPr>
      </w:pPr>
      <w:r>
        <w:rPr>
          <w:rFonts w:ascii="Arial" w:cs="Arial" w:eastAsia="Arial" w:hAnsi="Arial"/>
          <w:sz w:val="22"/>
          <w:szCs w:val="22"/>
        </w:rPr>
        <w:t xml:space="preserve">Legal compliance determinations are made by auditors, regulators, counsel, and courts with proper authority</w:t>
      </w:r>
    </w:p>
    <w:p>
      <w:pPr>
        <w:spacing w:after="60"/>
      </w:pPr>
    </w:p>
    <w:p>
      <w:pPr>
        <w:spacing w:after="60"/>
      </w:pPr>
      <w:r>
        <w:rPr>
          <w:rFonts w:ascii="Arial" w:cs="Arial" w:eastAsia="Arial" w:hAnsi="Arial"/>
          <w:b/>
          <w:bCs/>
          <w:sz w:val="22"/>
          <w:szCs w:val="22"/>
        </w:rPr>
        <w:t xml:space="preserve">Locked language:</w:t>
      </w:r>
      <w:r>
        <w:rPr>
          <w:rFonts w:ascii="Arial" w:cs="Arial" w:eastAsia="Arial" w:hAnsi="Arial"/>
          <w:sz w:val="22"/>
          <w:szCs w:val="22"/>
        </w:rPr>
        <w:t xml:space="preserve"> "ASRO does not determine legality or compliance outcome; it preserves the evidence chain on which those determinations can be based."</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 No enforcement inflation detected across any document in the final stack.</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2 — Badge Inflation</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A public badge could be misread as a safety certification, quality guarantee, or general trustworthiness claim.</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The Trust Badge is locked to attestation-state language only:</w:t>
      </w:r>
    </w:p>
    <w:p>
      <w:pPr>
        <w:pStyle w:val="ListParagraph"/>
        <w:numPr>
          <w:ilvl w:val="0"/>
          <w:numId w:val="2"/>
        </w:numPr>
      </w:pPr>
      <w:r>
        <w:rPr>
          <w:rFonts w:ascii="Arial" w:cs="Arial" w:eastAsia="Arial" w:hAnsi="Arial"/>
          <w:sz w:val="22"/>
          <w:szCs w:val="22"/>
        </w:rPr>
        <w:t xml:space="preserve">Host Attestation Active</w:t>
      </w:r>
    </w:p>
    <w:p>
      <w:pPr>
        <w:pStyle w:val="ListParagraph"/>
        <w:numPr>
          <w:ilvl w:val="0"/>
          <w:numId w:val="2"/>
        </w:numPr>
      </w:pPr>
      <w:r>
        <w:rPr>
          <w:rFonts w:ascii="Arial" w:cs="Arial" w:eastAsia="Arial" w:hAnsi="Arial"/>
          <w:sz w:val="22"/>
          <w:szCs w:val="22"/>
        </w:rPr>
        <w:t xml:space="preserve">Independent Verification Active</w:t>
      </w:r>
    </w:p>
    <w:p>
      <w:pPr>
        <w:pStyle w:val="ListParagraph"/>
        <w:numPr>
          <w:ilvl w:val="0"/>
          <w:numId w:val="2"/>
        </w:numPr>
      </w:pPr>
      <w:r>
        <w:rPr>
          <w:rFonts w:ascii="Arial" w:cs="Arial" w:eastAsia="Arial" w:hAnsi="Arial"/>
          <w:sz w:val="22"/>
          <w:szCs w:val="22"/>
        </w:rPr>
        <w:t xml:space="preserve">Attestation Under Review</w:t>
      </w:r>
    </w:p>
    <w:p>
      <w:pPr>
        <w:pStyle w:val="ListParagraph"/>
        <w:numPr>
          <w:ilvl w:val="0"/>
          <w:numId w:val="2"/>
        </w:numPr>
      </w:pPr>
      <w:r>
        <w:rPr>
          <w:rFonts w:ascii="Arial" w:cs="Arial" w:eastAsia="Arial" w:hAnsi="Arial"/>
          <w:sz w:val="22"/>
          <w:szCs w:val="22"/>
        </w:rPr>
        <w:t xml:space="preserve">Attestation Not Current</w:t>
      </w:r>
    </w:p>
    <w:p>
      <w:pPr>
        <w:spacing w:after="60"/>
      </w:pPr>
    </w:p>
    <w:p>
      <w:pPr>
        <w:spacing w:after="120"/>
      </w:pPr>
      <w:r>
        <w:rPr>
          <w:rFonts w:ascii="Arial" w:cs="Arial" w:eastAsia="Arial" w:hAnsi="Arial"/>
          <w:sz w:val="22"/>
          <w:szCs w:val="22"/>
        </w:rPr>
        <w:t xml:space="preserve">Additional constraints locked:</w:t>
      </w:r>
    </w:p>
    <w:p>
      <w:pPr>
        <w:pStyle w:val="ListParagraph"/>
        <w:numPr>
          <w:ilvl w:val="0"/>
          <w:numId w:val="2"/>
        </w:numPr>
      </w:pPr>
      <w:r>
        <w:rPr>
          <w:rFonts w:ascii="Arial" w:cs="Arial" w:eastAsia="Arial" w:hAnsi="Arial"/>
          <w:sz w:val="22"/>
          <w:szCs w:val="22"/>
        </w:rPr>
        <w:t xml:space="preserve">Badge must be machine-verifiable via signed Trust Status Record</w:t>
      </w:r>
    </w:p>
    <w:p>
      <w:pPr>
        <w:pStyle w:val="ListParagraph"/>
        <w:numPr>
          <w:ilvl w:val="0"/>
          <w:numId w:val="2"/>
        </w:numPr>
      </w:pPr>
      <w:r>
        <w:rPr>
          <w:rFonts w:ascii="Arial" w:cs="Arial" w:eastAsia="Arial" w:hAnsi="Arial"/>
          <w:sz w:val="22"/>
          <w:szCs w:val="22"/>
        </w:rPr>
        <w:t xml:space="preserve">Badge must immediately downgrade to "Attestation Under Review" when ACTIVITY_DURING_SILENT_WINDOW is triggered</w:t>
      </w:r>
    </w:p>
    <w:p>
      <w:pPr>
        <w:pStyle w:val="ListParagraph"/>
        <w:numPr>
          <w:ilvl w:val="0"/>
          <w:numId w:val="2"/>
        </w:numPr>
      </w:pPr>
      <w:r>
        <w:rPr>
          <w:rFonts w:ascii="Arial" w:cs="Arial" w:eastAsia="Arial" w:hAnsi="Arial"/>
          <w:sz w:val="22"/>
          <w:szCs w:val="22"/>
        </w:rPr>
        <w:t xml:space="preserve">A system that structurally prevents meaningful edge observation cannot claim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status</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 provided all public-facing materials keep badge language strictly attestation-scoped.</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3 — Legal-Compliance Inflation</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The COPPA/SOPPA and regulated-sector framing could drift into implying ASRO guarantees legal compliance or constitutes a safe harbor.</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All regulated-sector language now uses the formulation: "ASRO attestation provides the technical evidence base for compliance demonstration and governance review under applicable law; it does not itself determine legal compliance."</w:t>
      </w:r>
    </w:p>
    <w:p>
      <w:pPr>
        <w:spacing w:after="60"/>
      </w:pPr>
    </w:p>
    <w:p>
      <w:pPr>
        <w:spacing w:after="120"/>
      </w:pPr>
      <w:r>
        <w:rPr>
          <w:rFonts w:ascii="Arial" w:cs="Arial" w:eastAsia="Arial" w:hAnsi="Arial"/>
          <w:sz w:val="22"/>
          <w:szCs w:val="22"/>
        </w:rPr>
        <w:t xml:space="preserve">This wording appears consistently across the Governance Rationale, Technical Annex, and README.</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 if all public-facing and institutional materials maintain the "supports evidence / demonstration" wording and avoid guarantee language.</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4 — Partner-Auditable Vagueness</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"Partner-auditable" could become branding without a minimum review floor, allowing the tier to be claimed while withholding material records.</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Minimum partner-auditable field set is locked in MAS v1.1, Section 15:</w:t>
      </w:r>
    </w:p>
    <w:p>
      <w:pPr>
        <w:spacing w:after="120"/>
      </w:pPr>
      <w:r>
        <w:rPr>
          <w:rFonts w:ascii="Courier New" w:cs="Courier New" w:eastAsia="Courier New" w:hAnsi="Courier New"/>
          <w:color w:val="C7254E"/>
          <w:sz w:val="20"/>
          <w:szCs w:val="20"/>
        </w:rPr>
        <w:t xml:space="preserve">continuity_status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reconciliation_status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discrepancy_class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review_required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trust_status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timestamp</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system_id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session_id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host_bundle_hash</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edge_bundle_hash</w:t>
      </w:r>
      <w:r>
        <w:rPr>
          <w:rFonts w:ascii="Arial" w:cs="Arial" w:eastAsia="Arial" w:hAnsi="Arial"/>
          <w:sz w:val="22"/>
          <w:szCs w:val="22"/>
        </w:rPr>
        <w:t xml:space="preserve"> (when edge exists), </w:t>
      </w:r>
      <w:r>
        <w:rPr>
          <w:rFonts w:ascii="Courier New" w:cs="Courier New" w:eastAsia="Courier New" w:hAnsi="Courier New"/>
          <w:color w:val="C7254E"/>
          <w:sz w:val="20"/>
          <w:szCs w:val="20"/>
        </w:rPr>
        <w:t xml:space="preserve">signature_status</w:t>
      </w:r>
    </w:p>
    <w:p>
      <w:pPr>
        <w:spacing w:after="60"/>
      </w:pPr>
    </w:p>
    <w:p>
      <w:pPr>
        <w:spacing w:after="120"/>
      </w:pPr>
      <w:r>
        <w:rPr>
          <w:rFonts w:ascii="Arial" w:cs="Arial" w:eastAsia="Arial" w:hAnsi="Arial"/>
          <w:sz w:val="22"/>
          <w:szCs w:val="22"/>
        </w:rPr>
        <w:t xml:space="preserve">Withholding minimum fields while claiming partner-auditable status is classified as a </w:t>
      </w:r>
      <w:r>
        <w:rPr>
          <w:rFonts w:ascii="Courier New" w:cs="Courier New" w:eastAsia="Courier New" w:hAnsi="Courier New"/>
          <w:color w:val="C7254E"/>
          <w:sz w:val="20"/>
          <w:szCs w:val="20"/>
        </w:rPr>
        <w:t xml:space="preserve">Partner Transparency Abuse</w:t>
      </w:r>
      <w:r>
        <w:rPr>
          <w:rFonts w:ascii="Arial" w:cs="Arial" w:eastAsia="Arial" w:hAnsi="Arial"/>
          <w:sz w:val="22"/>
          <w:szCs w:val="22"/>
        </w:rPr>
        <w:t xml:space="preserve"> discrepancy.</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5 — Starvation Ambiguity / Drip Feed Loophole</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A system could remain technically continuous while publishing meaningful events too late to matter for real-time governance review.</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The spec now includes:</w:t>
      </w:r>
    </w:p>
    <w:p>
      <w:pPr>
        <w:pStyle w:val="ListParagraph"/>
        <w:numPr>
          <w:ilvl w:val="0"/>
          <w:numId w:val="2"/>
        </w:numPr>
      </w:pP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 declared variable within class-bound ceilings (15,000 / 60,000 / 300,000ms)</w:t>
      </w:r>
    </w:p>
    <w:p>
      <w:pPr>
        <w:pStyle w:val="ListParagraph"/>
        <w:numPr>
          <w:ilvl w:val="0"/>
          <w:numId w:val="2"/>
        </w:numPr>
      </w:pPr>
      <w:r>
        <w:rPr>
          <w:rFonts w:ascii="Courier New" w:cs="Courier New" w:eastAsia="Courier New" w:hAnsi="Courier New"/>
          <w:color w:val="C7254E"/>
          <w:sz w:val="20"/>
          <w:szCs w:val="20"/>
        </w:rPr>
        <w:t xml:space="preserve">oldest_unpublished_load_bearing_event_ms</w:t>
      </w:r>
      <w:r>
        <w:rPr>
          <w:rFonts w:ascii="Arial" w:cs="Arial" w:eastAsia="Arial" w:hAnsi="Arial"/>
          <w:sz w:val="22"/>
          <w:szCs w:val="22"/>
        </w:rPr>
        <w:t xml:space="preserve"> — surfaces active Drip Feed conditions</w:t>
      </w:r>
    </w:p>
    <w:p>
      <w:pPr>
        <w:pStyle w:val="ListParagraph"/>
        <w:numPr>
          <w:ilvl w:val="0"/>
          <w:numId w:val="2"/>
        </w:numPr>
      </w:pPr>
      <w:r>
        <w:rPr>
          <w:rFonts w:ascii="Courier New" w:cs="Courier New" w:eastAsia="Courier New" w:hAnsi="Courier New"/>
          <w:color w:val="C7254E"/>
          <w:sz w:val="20"/>
          <w:szCs w:val="20"/>
        </w:rPr>
        <w:t xml:space="preserve">event_density_window_s</w:t>
      </w:r>
      <w:r>
        <w:rPr>
          <w:rFonts w:ascii="Arial" w:cs="Arial" w:eastAsia="Arial" w:hAnsi="Arial"/>
          <w:sz w:val="22"/>
          <w:szCs w:val="22"/>
        </w:rPr>
        <w:t xml:space="preserve"> — enables detection of abnormally sparse event production</w:t>
      </w:r>
    </w:p>
    <w:p>
      <w:pPr>
        <w:pStyle w:val="ListParagraph"/>
        <w:numPr>
          <w:ilvl w:val="0"/>
          <w:numId w:val="2"/>
        </w:numPr>
      </w:pPr>
      <w:r>
        <w:rPr>
          <w:rFonts w:ascii="Arial" w:cs="Arial" w:eastAsia="Arial" w:hAnsi="Arial"/>
          <w:sz w:val="22"/>
          <w:szCs w:val="22"/>
        </w:rPr>
        <w:t xml:space="preserve">Mandatory minimum telemetry floor — a continuous chain of only heartbeats while tool calls and policy transitions occur is non-compliant</w:t>
      </w:r>
    </w:p>
    <w:p>
      <w:pPr>
        <w:pStyle w:val="ListParagraph"/>
        <w:numPr>
          <w:ilvl w:val="0"/>
          <w:numId w:val="2"/>
        </w:numPr>
      </w:pPr>
      <w:r>
        <w:rPr>
          <w:rFonts w:ascii="Arial" w:cs="Arial" w:eastAsia="Arial" w:hAnsi="Arial"/>
          <w:sz w:val="22"/>
          <w:szCs w:val="22"/>
        </w:rPr>
        <w:t xml:space="preserve">Protected action classes cannot be reclassified as non-load-bearing</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 at v1.0 level. Future versions may tighten event density formulas, but no unmitigated high-risk gap remains.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6 — Edge-Observation Honesty</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A system could structurally prevent edge observation and still display full ASRO compliance claims.</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Locked rule — a system that structurally prevents meaningful edge observation cannot claim </w:t>
      </w:r>
      <w:r>
        <w:rPr>
          <w:rFonts w:ascii="Courier New" w:cs="Courier New" w:eastAsia="Courier New" w:hAnsi="Courier New"/>
          <w:color w:val="C7254E"/>
          <w:sz w:val="20"/>
          <w:szCs w:val="20"/>
        </w:rPr>
        <w:t xml:space="preserve">reconciled_attested</w:t>
      </w:r>
      <w:r>
        <w:rPr>
          <w:rFonts w:ascii="Arial" w:cs="Arial" w:eastAsia="Arial" w:hAnsi="Arial"/>
          <w:sz w:val="22"/>
          <w:szCs w:val="22"/>
        </w:rPr>
        <w:t xml:space="preserve"> (Independent Verification Active) status. It may claim </w:t>
      </w:r>
      <w:r>
        <w:rPr>
          <w:rFonts w:ascii="Courier New" w:cs="Courier New" w:eastAsia="Courier New" w:hAnsi="Courier New"/>
          <w:color w:val="C7254E"/>
          <w:sz w:val="20"/>
          <w:szCs w:val="20"/>
        </w:rPr>
        <w:t xml:space="preserve">host_attested</w:t>
      </w:r>
      <w:r>
        <w:rPr>
          <w:rFonts w:ascii="Arial" w:cs="Arial" w:eastAsia="Arial" w:hAnsi="Arial"/>
          <w:sz w:val="22"/>
          <w:szCs w:val="22"/>
        </w:rPr>
        <w:t xml:space="preserve"> (Host Attestation Active) only. Displaying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while blocking edge observation is classified as a Framework Credibility Attack (S4).</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7 — Shadow Tool / Semantic Evasion</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Protected actions could be hidden inside harmless-sounding telemetry labels, defeating the controlled vocabulary.</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The stack now includes:</w:t>
      </w:r>
    </w:p>
    <w:p>
      <w:pPr>
        <w:pStyle w:val="ListParagraph"/>
        <w:numPr>
          <w:ilvl w:val="0"/>
          <w:numId w:val="2"/>
        </w:numPr>
      </w:pPr>
      <w:r>
        <w:rPr>
          <w:rFonts w:ascii="Arial" w:cs="Arial" w:eastAsia="Arial" w:hAnsi="Arial"/>
          <w:sz w:val="22"/>
          <w:szCs w:val="22"/>
        </w:rPr>
        <w:t xml:space="preserve">Controlled vocabulary with validation at ASRO intake</w:t>
      </w:r>
    </w:p>
    <w:p>
      <w:pPr>
        <w:pStyle w:val="ListParagraph"/>
        <w:numPr>
          <w:ilvl w:val="0"/>
          <w:numId w:val="2"/>
        </w:numPr>
      </w:pPr>
      <w:r>
        <w:rPr>
          <w:rFonts w:ascii="Arial" w:cs="Arial" w:eastAsia="Arial" w:hAnsi="Arial"/>
          <w:sz w:val="22"/>
          <w:szCs w:val="22"/>
        </w:rPr>
        <w:t xml:space="preserve">Protected action classes explicitly listed — cannot appear as other event types</w:t>
      </w:r>
    </w:p>
    <w:p>
      <w:pPr>
        <w:pStyle w:val="ListParagraph"/>
        <w:numPr>
          <w:ilvl w:val="0"/>
          <w:numId w:val="2"/>
        </w:numPr>
      </w:pPr>
      <w:r>
        <w:rPr>
          <w:rFonts w:ascii="Courier New" w:cs="Courier New" w:eastAsia="Courier New" w:hAnsi="Courier New"/>
          <w:color w:val="C7254E"/>
          <w:sz w:val="20"/>
          <w:szCs w:val="20"/>
        </w:rPr>
        <w:t xml:space="preserve">UNKNOWN_EVENT_TYPE</w:t>
      </w:r>
      <w:r>
        <w:rPr>
          <w:rFonts w:ascii="Arial" w:cs="Arial" w:eastAsia="Arial" w:hAnsi="Arial"/>
          <w:sz w:val="22"/>
          <w:szCs w:val="22"/>
        </w:rPr>
        <w:t xml:space="preserve"> discrepancy class for unregistered types</w:t>
      </w:r>
    </w:p>
    <w:p>
      <w:pPr>
        <w:pStyle w:val="ListParagraph"/>
        <w:numPr>
          <w:ilvl w:val="0"/>
          <w:numId w:val="2"/>
        </w:numPr>
      </w:pPr>
      <w:r>
        <w:rPr>
          <w:rFonts w:ascii="Arial" w:cs="Arial" w:eastAsia="Arial" w:hAnsi="Arial"/>
          <w:sz w:val="22"/>
          <w:szCs w:val="22"/>
        </w:rPr>
        <w:t xml:space="preserve">Vocabulary changes require a declared, signed vocabulary transition event</w:t>
      </w:r>
    </w:p>
    <w:p>
      <w:pPr>
        <w:pStyle w:val="ListParagraph"/>
        <w:numPr>
          <w:ilvl w:val="0"/>
          <w:numId w:val="2"/>
        </w:numPr>
      </w:pPr>
      <w:r>
        <w:rPr>
          <w:rFonts w:ascii="Arial" w:cs="Arial" w:eastAsia="Arial" w:hAnsi="Arial"/>
          <w:sz w:val="22"/>
          <w:szCs w:val="22"/>
        </w:rPr>
        <w:t xml:space="preserve">Attempting to register a misleading term classified as a framework credibility attack</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 at v1.0 specification level.</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8 — Privacy-Boundary Breach Risk</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Threat mitigations or review procedures could drift into content inspection or surveillance-like measures.</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The stack consistently prohibits requiring:</w:t>
      </w:r>
    </w:p>
    <w:p>
      <w:pPr>
        <w:pStyle w:val="ListParagraph"/>
        <w:numPr>
          <w:ilvl w:val="0"/>
          <w:numId w:val="2"/>
        </w:numPr>
      </w:pPr>
      <w:r>
        <w:rPr>
          <w:rFonts w:ascii="Arial" w:cs="Arial" w:eastAsia="Arial" w:hAnsi="Arial"/>
          <w:sz w:val="22"/>
          <w:szCs w:val="22"/>
        </w:rPr>
        <w:t xml:space="preserve">Raw conversation content</w:t>
      </w:r>
    </w:p>
    <w:p>
      <w:pPr>
        <w:pStyle w:val="ListParagraph"/>
        <w:numPr>
          <w:ilvl w:val="0"/>
          <w:numId w:val="2"/>
        </w:numPr>
      </w:pPr>
      <w:r>
        <w:rPr>
          <w:rFonts w:ascii="Arial" w:cs="Arial" w:eastAsia="Arial" w:hAnsi="Arial"/>
          <w:sz w:val="22"/>
          <w:szCs w:val="22"/>
        </w:rPr>
        <w:t xml:space="preserve">Model internals</w:t>
      </w:r>
    </w:p>
    <w:p>
      <w:pPr>
        <w:pStyle w:val="ListParagraph"/>
        <w:numPr>
          <w:ilvl w:val="0"/>
          <w:numId w:val="2"/>
        </w:numPr>
      </w:pPr>
      <w:r>
        <w:rPr>
          <w:rFonts w:ascii="Arial" w:cs="Arial" w:eastAsia="Arial" w:hAnsi="Arial"/>
          <w:sz w:val="22"/>
          <w:szCs w:val="22"/>
        </w:rPr>
        <w:t xml:space="preserve">User-identifying data</w:t>
      </w:r>
    </w:p>
    <w:p>
      <w:pPr>
        <w:pStyle w:val="ListParagraph"/>
        <w:numPr>
          <w:ilvl w:val="0"/>
          <w:numId w:val="2"/>
        </w:numPr>
      </w:pPr>
      <w:r>
        <w:rPr>
          <w:rFonts w:ascii="Arial" w:cs="Arial" w:eastAsia="Arial" w:hAnsi="Arial"/>
          <w:sz w:val="22"/>
          <w:szCs w:val="22"/>
        </w:rPr>
        <w:t xml:space="preserve">Raw prompt or response logs</w:t>
      </w:r>
    </w:p>
    <w:p>
      <w:pPr>
        <w:spacing w:after="60"/>
      </w:pPr>
    </w:p>
    <w:p>
      <w:pPr>
        <w:spacing w:after="120"/>
      </w:pPr>
      <w:r>
        <w:rPr>
          <w:rFonts w:ascii="Arial" w:cs="Arial" w:eastAsia="Arial" w:hAnsi="Arial"/>
          <w:sz w:val="22"/>
          <w:szCs w:val="22"/>
        </w:rPr>
        <w:t xml:space="preserve">This prohibition appears explicitly in the MAS, Technical Annex, Governance Rationale, Governance Response Protocol, and Threat Model. The privacy boundary is structurally enforced by the attestation bundle schema, which has no fields for content data.</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9 — Governance Theater Risk</w:t>
      </w:r>
    </w:p>
    <w:p>
      <w:pPr>
        <w:spacing w:after="120"/>
      </w:pPr>
      <w:r>
        <w:rPr>
          <w:rFonts w:ascii="Arial" w:cs="Arial" w:eastAsia="Arial" w:hAnsi="Arial"/>
          <w:b/>
          <w:bCs/>
          <w:sz w:val="22"/>
          <w:szCs w:val="22"/>
        </w:rPr>
        <w:t xml:space="preserve">Status: RESOLVED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Alerts without defined operational response procedures become theater — flags that are generated but never actioned.</w:t>
      </w:r>
    </w:p>
    <w:p>
      <w:pPr>
        <w:spacing w:after="60"/>
      </w:pPr>
    </w:p>
    <w:p>
      <w:pPr>
        <w:spacing w:after="60"/>
      </w:pPr>
      <w:r>
        <w:rPr>
          <w:rFonts w:ascii="Arial" w:cs="Arial" w:eastAsia="Arial" w:hAnsi="Arial"/>
          <w:b/>
          <w:bCs/>
          <w:sz w:val="22"/>
          <w:szCs w:val="22"/>
        </w:rPr>
        <w:t xml:space="preserve">Resolution:</w:t>
      </w:r>
      <w:r>
        <w:rPr>
          <w:rFonts w:ascii="Arial" w:cs="Arial" w:eastAsia="Arial" w:hAnsi="Arial"/>
          <w:sz w:val="22"/>
          <w:szCs w:val="22"/>
        </w:rPr>
        <w:t xml:space="preserve"> The Governance Response Protocol defines:</w:t>
      </w:r>
    </w:p>
    <w:p>
      <w:pPr>
        <w:pStyle w:val="ListParagraph"/>
        <w:numPr>
          <w:ilvl w:val="0"/>
          <w:numId w:val="2"/>
        </w:numPr>
      </w:pPr>
      <w:r>
        <w:rPr>
          <w:rFonts w:ascii="Arial" w:cs="Arial" w:eastAsia="Arial" w:hAnsi="Arial"/>
          <w:sz w:val="22"/>
          <w:szCs w:val="22"/>
        </w:rPr>
        <w:t xml:space="preserve">Three reviewer classes with defined authorities and limits</w:t>
      </w:r>
    </w:p>
    <w:p>
      <w:pPr>
        <w:pStyle w:val="ListParagraph"/>
        <w:numPr>
          <w:ilvl w:val="0"/>
          <w:numId w:val="2"/>
        </w:numPr>
      </w:pPr>
      <w:r>
        <w:rPr>
          <w:rFonts w:ascii="Arial" w:cs="Arial" w:eastAsia="Arial" w:hAnsi="Arial"/>
          <w:sz w:val="22"/>
          <w:szCs w:val="22"/>
        </w:rPr>
        <w:t xml:space="preserve">S3 response procedures with 72-hour binding timeline</w:t>
      </w:r>
    </w:p>
    <w:p>
      <w:pPr>
        <w:pStyle w:val="ListParagraph"/>
        <w:numPr>
          <w:ilvl w:val="0"/>
          <w:numId w:val="2"/>
        </w:numPr>
      </w:pPr>
      <w:r>
        <w:rPr>
          <w:rFonts w:ascii="Arial" w:cs="Arial" w:eastAsia="Arial" w:hAnsi="Arial"/>
          <w:sz w:val="22"/>
          <w:szCs w:val="22"/>
        </w:rPr>
        <w:t xml:space="preserve">S4 response procedures with 24-hour binding timeline (12 hours for ACTIVITY_DURING_SILENT_WINDOW)</w:t>
      </w:r>
    </w:p>
    <w:p>
      <w:pPr>
        <w:pStyle w:val="ListParagraph"/>
        <w:numPr>
          <w:ilvl w:val="0"/>
          <w:numId w:val="2"/>
        </w:numPr>
      </w:pPr>
      <w:r>
        <w:rPr>
          <w:rFonts w:ascii="Arial" w:cs="Arial" w:eastAsia="Arial" w:hAnsi="Arial"/>
          <w:sz w:val="22"/>
          <w:szCs w:val="22"/>
        </w:rPr>
        <w:t xml:space="preserve">"Attestation Under Review" public status change on S4 alert</w:t>
      </w:r>
    </w:p>
    <w:p>
      <w:pPr>
        <w:pStyle w:val="ListParagraph"/>
        <w:numPr>
          <w:ilvl w:val="0"/>
          <w:numId w:val="2"/>
        </w:numPr>
      </w:pPr>
      <w:r>
        <w:rPr>
          <w:rFonts w:ascii="Arial" w:cs="Arial" w:eastAsia="Arial" w:hAnsi="Arial"/>
          <w:sz w:val="22"/>
          <w:szCs w:val="22"/>
        </w:rPr>
        <w:t xml:space="preserve">Non-compliant determination procedures and restoration path</w:t>
      </w:r>
    </w:p>
    <w:p>
      <w:pPr>
        <w:pStyle w:val="ListParagraph"/>
        <w:numPr>
          <w:ilvl w:val="0"/>
          <w:numId w:val="2"/>
        </w:numPr>
      </w:pPr>
      <w:r>
        <w:rPr>
          <w:rFonts w:ascii="Arial" w:cs="Arial" w:eastAsia="Arial" w:hAnsi="Arial"/>
          <w:sz w:val="22"/>
          <w:szCs w:val="22"/>
        </w:rPr>
        <w:t xml:space="preserve">Explicit prohibition on reviewers examining content</w:t>
      </w:r>
    </w:p>
    <w:p>
      <w:pPr>
        <w:spacing w:after="60"/>
      </w:pPr>
    </w:p>
    <w:p>
      <w:pPr>
        <w:spacing w:after="60"/>
      </w:pPr>
      <w:r>
        <w:rPr>
          <w:rFonts w:ascii="Arial" w:cs="Arial" w:eastAsia="Arial" w:hAnsi="Arial"/>
          <w:b/>
          <w:bCs/>
          <w:sz w:val="22"/>
          <w:szCs w:val="22"/>
        </w:rPr>
        <w:t xml:space="preserve">Credibility result:</w:t>
      </w:r>
      <w:r>
        <w:rPr>
          <w:rFonts w:ascii="Arial" w:cs="Arial" w:eastAsia="Arial" w:hAnsi="Arial"/>
          <w:sz w:val="22"/>
          <w:szCs w:val="22"/>
        </w:rPr>
        <w:t xml:space="preserve"> Resolved, provided the Response Protocol is packaged alongside the core governance documents.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Finding 10 — Remaining Known Limitations</w:t>
      </w:r>
    </w:p>
    <w:p>
      <w:pPr>
        <w:spacing w:after="120"/>
      </w:pPr>
      <w:r>
        <w:rPr>
          <w:rFonts w:ascii="Arial" w:cs="Arial" w:eastAsia="Arial" w:hAnsi="Arial"/>
          <w:b/>
          <w:bCs/>
          <w:sz w:val="22"/>
          <w:szCs w:val="22"/>
        </w:rPr>
        <w:t xml:space="preserve">Status: ACCEPTED LIMITATIONS — NOT RELEASE BLOCKERS</w:t>
      </w:r>
    </w:p>
    <w:p>
      <w:pPr>
        <w:spacing w:after="60"/>
      </w:pPr>
    </w:p>
    <w:p>
      <w:pPr>
        <w:spacing w:after="120"/>
      </w:pPr>
      <w:r>
        <w:rPr>
          <w:rFonts w:ascii="Arial" w:cs="Arial" w:eastAsia="Arial" w:hAnsi="Arial"/>
          <w:sz w:val="22"/>
          <w:szCs w:val="22"/>
        </w:rPr>
        <w:t xml:space="preserve">The following remain true and are stated honestly across the release stack:</w:t>
      </w:r>
    </w:p>
    <w:p>
      <w:pPr>
        <w:spacing w:after="60"/>
      </w:pPr>
    </w:p>
    <w:p>
      <w:pPr>
        <w:pStyle w:val="ListParagraph"/>
        <w:numPr>
          <w:ilvl w:val="0"/>
          <w:numId w:val="3"/>
        </w:numPr>
      </w:pPr>
      <w:r>
        <w:rPr>
          <w:rFonts w:ascii="Arial" w:cs="Arial" w:eastAsia="Arial" w:hAnsi="Arial"/>
          <w:sz w:val="22"/>
          <w:szCs w:val="22"/>
        </w:rPr>
        <w:t xml:space="preserve">ASRO does not guarantee good model behavior.</w:t>
      </w:r>
    </w:p>
    <w:p>
      <w:pPr>
        <w:pStyle w:val="ListParagraph"/>
        <w:numPr>
          <w:ilvl w:val="0"/>
          <w:numId w:val="3"/>
        </w:numPr>
      </w:pPr>
      <w:r>
        <w:rPr>
          <w:rFonts w:ascii="Arial" w:cs="Arial" w:eastAsia="Arial" w:hAnsi="Arial"/>
          <w:sz w:val="22"/>
          <w:szCs w:val="22"/>
        </w:rPr>
        <w:t xml:space="preserve">ASRO does not eliminate hallucinations.</w:t>
      </w:r>
    </w:p>
    <w:p>
      <w:pPr>
        <w:pStyle w:val="ListParagraph"/>
        <w:numPr>
          <w:ilvl w:val="0"/>
          <w:numId w:val="3"/>
        </w:numPr>
      </w:pPr>
      <w:r>
        <w:rPr>
          <w:rFonts w:ascii="Arial" w:cs="Arial" w:eastAsia="Arial" w:hAnsi="Arial"/>
          <w:sz w:val="22"/>
          <w:szCs w:val="22"/>
        </w:rPr>
        <w:t xml:space="preserve">ASRO does not by itself prove legal compliance.</w:t>
      </w:r>
    </w:p>
    <w:p>
      <w:pPr>
        <w:pStyle w:val="ListParagraph"/>
        <w:numPr>
          <w:ilvl w:val="0"/>
          <w:numId w:val="3"/>
        </w:numPr>
      </w:pPr>
      <w:r>
        <w:rPr>
          <w:rFonts w:ascii="Arial" w:cs="Arial" w:eastAsia="Arial" w:hAnsi="Arial"/>
          <w:sz w:val="22"/>
          <w:szCs w:val="22"/>
        </w:rPr>
        <w:t xml:space="preserve">ASRO does not prevent all infrastructure compromise.</w:t>
      </w:r>
    </w:p>
    <w:p>
      <w:pPr>
        <w:pStyle w:val="ListParagraph"/>
        <w:numPr>
          <w:ilvl w:val="0"/>
          <w:numId w:val="3"/>
        </w:numPr>
      </w:pPr>
      <w:r>
        <w:rPr>
          <w:rFonts w:ascii="Arial" w:cs="Arial" w:eastAsia="Arial" w:hAnsi="Arial"/>
          <w:sz w:val="22"/>
          <w:szCs w:val="22"/>
        </w:rPr>
        <w:t xml:space="preserve">Host-only attestation is weaker than host-edge reconciled attestation.</w:t>
      </w:r>
    </w:p>
    <w:p>
      <w:pPr>
        <w:pStyle w:val="ListParagraph"/>
        <w:numPr>
          <w:ilvl w:val="0"/>
          <w:numId w:val="3"/>
        </w:numPr>
      </w:pPr>
      <w:r>
        <w:rPr>
          <w:rFonts w:ascii="Arial" w:cs="Arial" w:eastAsia="Arial" w:hAnsi="Arial"/>
          <w:sz w:val="22"/>
          <w:szCs w:val="22"/>
        </w:rPr>
        <w:t xml:space="preserve">Low-visibility environments reduce the strength of edge witnessing even when honestly declared.</w:t>
      </w:r>
    </w:p>
    <w:p>
      <w:pPr>
        <w:pStyle w:val="ListParagraph"/>
        <w:numPr>
          <w:ilvl w:val="0"/>
          <w:numId w:val="3"/>
        </w:numPr>
      </w:pPr>
      <w:r>
        <w:rPr>
          <w:rFonts w:ascii="Arial" w:cs="Arial" w:eastAsia="Arial" w:hAnsi="Arial"/>
          <w:sz w:val="22"/>
          <w:szCs w:val="22"/>
        </w:rPr>
        <w:t xml:space="preserve">A host-side Meter Agent inside the operator's infrastructure is not independent by itself — it requires external anchoring, edge witnessing, and ASRO reconciliation to provide credible attestation.</w:t>
      </w:r>
    </w:p>
    <w:p>
      <w:pPr>
        <w:pStyle w:val="ListParagraph"/>
        <w:numPr>
          <w:ilvl w:val="0"/>
          <w:numId w:val="3"/>
        </w:numPr>
      </w:pPr>
      <w:r>
        <w:rPr>
          <w:rFonts w:ascii="Arial" w:cs="Arial" w:eastAsia="Arial" w:hAnsi="Arial"/>
          <w:sz w:val="22"/>
          <w:szCs w:val="22"/>
        </w:rPr>
        <w:t xml:space="preserve">Declared latency windows can be set to the maximum permitted ceiling, reducing real-time reviewability even within declared compliance class bounds.</w:t>
      </w:r>
    </w:p>
    <w:p>
      <w:pPr>
        <w:spacing w:after="60"/>
      </w:pPr>
    </w:p>
    <w:p>
      <w:pPr>
        <w:spacing w:after="120"/>
      </w:pPr>
      <w:r>
        <w:rPr>
          <w:rFonts w:ascii="Arial" w:cs="Arial" w:eastAsia="Arial" w:hAnsi="Arial"/>
          <w:sz w:val="22"/>
          <w:szCs w:val="22"/>
        </w:rPr>
        <w:t xml:space="preserve">These limitations are stated in the README Known Limitations section, the Threat Model Known Limitations section, and relevant sections of the technical and governance documents. Stating them prominently is what makes the framework institutionally credible.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Certification Decision</w:t>
      </w:r>
    </w:p>
    <w:p>
      <w:pPr>
        <w:spacing w:after="60"/>
      </w:pPr>
    </w:p>
    <w:p>
      <w:pPr>
        <w:spacing w:after="120"/>
      </w:pPr>
      <w:r>
        <w:rPr>
          <w:rFonts w:ascii="Arial" w:cs="Arial" w:eastAsia="Arial" w:hAnsi="Arial"/>
          <w:b/>
          <w:bCs/>
          <w:sz w:val="22"/>
          <w:szCs w:val="22"/>
        </w:rPr>
        <w:t xml:space="preserve">Certification outcome: PASS with wording discipline required</w:t>
      </w:r>
    </w:p>
    <w:p>
      <w:pPr>
        <w:spacing w:after="60"/>
      </w:pPr>
    </w:p>
    <w:p>
      <w:pPr>
        <w:spacing w:after="60"/>
      </w:pPr>
      <w:r>
        <w:rPr>
          <w:rFonts w:ascii="Arial" w:cs="Arial" w:eastAsia="Arial" w:hAnsi="Arial"/>
          <w:b/>
          <w:bCs/>
          <w:sz w:val="22"/>
          <w:szCs w:val="22"/>
        </w:rPr>
        <w:t xml:space="preserve">Release judgment:</w:t>
      </w:r>
    </w:p>
    <w:p>
      <w:pPr>
        <w:spacing w:after="60"/>
      </w:pPr>
    </w:p>
    <w:p>
      <w:pPr>
        <w:spacing w:after="120"/>
      </w:pPr>
      <w:r>
        <w:rPr>
          <w:rFonts w:ascii="Arial" w:cs="Arial" w:eastAsia="Arial" w:hAnsi="Arial"/>
          <w:sz w:val="22"/>
          <w:szCs w:val="22"/>
        </w:rPr>
        <w:t xml:space="preserve">The ASRO v1.0 stack contains no known unmitigated high-risk governance attack path that would allow a system to present a plausibly compliant full-compliance posture while leaving governance-relevant change systematically undetectable, provided the locked constraints remain in place.</w:t>
      </w:r>
    </w:p>
    <w:p>
      <w:pPr>
        <w:spacing w:after="60"/>
      </w:pPr>
    </w:p>
    <w:p>
      <w:pPr>
        <w:spacing w:after="60"/>
      </w:pPr>
      <w:r>
        <w:rPr>
          <w:rFonts w:ascii="Arial" w:cs="Arial" w:eastAsia="Arial" w:hAnsi="Arial"/>
          <w:b/>
          <w:bCs/>
          <w:sz w:val="22"/>
          <w:szCs w:val="22"/>
        </w:rPr>
        <w:t xml:space="preserve">This certification is contingent on preserving:</w:t>
      </w:r>
    </w:p>
    <w:p>
      <w:pPr>
        <w:pStyle w:val="ListParagraph"/>
        <w:numPr>
          <w:ilvl w:val="0"/>
          <w:numId w:val="2"/>
        </w:numPr>
      </w:pPr>
      <w:r>
        <w:rPr>
          <w:rFonts w:ascii="Arial" w:cs="Arial" w:eastAsia="Arial" w:hAnsi="Arial"/>
          <w:sz w:val="22"/>
          <w:szCs w:val="22"/>
        </w:rPr>
        <w:t xml:space="preserve">Attestation-only badge language — no safety, quality, or legal approval claims</w:t>
      </w:r>
    </w:p>
    <w:p>
      <w:pPr>
        <w:pStyle w:val="ListParagraph"/>
        <w:numPr>
          <w:ilvl w:val="0"/>
          <w:numId w:val="2"/>
        </w:numPr>
      </w:pPr>
      <w:r>
        <w:rPr>
          <w:rFonts w:ascii="Arial" w:cs="Arial" w:eastAsia="Arial" w:hAnsi="Arial"/>
          <w:sz w:val="22"/>
          <w:szCs w:val="22"/>
        </w:rPr>
        <w:t xml:space="preserve">Evidence-not-adjudication language — ASRO provides evidence, not rulings</w:t>
      </w:r>
    </w:p>
    <w:p>
      <w:pPr>
        <w:pStyle w:val="ListParagraph"/>
        <w:numPr>
          <w:ilvl w:val="0"/>
          <w:numId w:val="2"/>
        </w:numPr>
      </w:pPr>
      <w:r>
        <w:rPr>
          <w:rFonts w:ascii="Arial" w:cs="Arial" w:eastAsia="Arial" w:hAnsi="Arial"/>
          <w:sz w:val="22"/>
          <w:szCs w:val="22"/>
        </w:rPr>
        <w:t xml:space="preserve">Edge-observation compliance boundary — no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claim for systems that block edge observation</w:t>
      </w:r>
    </w:p>
    <w:p>
      <w:pPr>
        <w:pStyle w:val="ListParagraph"/>
        <w:numPr>
          <w:ilvl w:val="0"/>
          <w:numId w:val="2"/>
        </w:numPr>
      </w:pPr>
      <w:r>
        <w:rPr>
          <w:rFonts w:ascii="Arial" w:cs="Arial" w:eastAsia="Arial" w:hAnsi="Arial"/>
          <w:sz w:val="22"/>
          <w:szCs w:val="22"/>
        </w:rPr>
        <w:t xml:space="preserve">Partner-auditable minimum fields — cannot be withheld while claiming the tier</w:t>
      </w:r>
    </w:p>
    <w:p>
      <w:pPr>
        <w:pStyle w:val="ListParagraph"/>
        <w:numPr>
          <w:ilvl w:val="0"/>
          <w:numId w:val="2"/>
        </w:numPr>
      </w:pPr>
      <w:r>
        <w:rPr>
          <w:rFonts w:ascii="Arial" w:cs="Arial" w:eastAsia="Arial" w:hAnsi="Arial"/>
          <w:sz w:val="22"/>
          <w:szCs w:val="22"/>
        </w:rPr>
        <w:t xml:space="preserve">Max-event-latency / starvation floor language — declared variable within class bounds, with minimum telemetry floor</w:t>
      </w:r>
    </w:p>
    <w:p>
      <w:pPr>
        <w:pStyle w:val="ListParagraph"/>
        <w:numPr>
          <w:ilvl w:val="0"/>
          <w:numId w:val="2"/>
        </w:numPr>
      </w:pPr>
      <w:r>
        <w:rPr>
          <w:rFonts w:ascii="Arial" w:cs="Arial" w:eastAsia="Arial" w:hAnsi="Arial"/>
          <w:sz w:val="22"/>
          <w:szCs w:val="22"/>
        </w:rPr>
        <w:t xml:space="preserve">Privacy boundary — no content inspection required at any layer</w:t>
      </w:r>
    </w:p>
    <w:p>
      <w:pPr>
        <w:pStyle w:val="ListParagraph"/>
        <w:numPr>
          <w:ilvl w:val="0"/>
          <w:numId w:val="2"/>
        </w:numPr>
      </w:pPr>
      <w:r>
        <w:rPr>
          <w:rFonts w:ascii="Arial" w:cs="Arial" w:eastAsia="Arial" w:hAnsi="Arial"/>
          <w:sz w:val="22"/>
          <w:szCs w:val="22"/>
        </w:rPr>
        <w:t xml:space="preserve">Enforcement boundary — ASRO is not an enforcement authority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Canonical Certification Sentence</w:t>
      </w:r>
    </w:p>
    <w:p>
      <w:pPr>
        <w:spacing w:after="60"/>
      </w:pP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Release Recommendation</w:t>
      </w:r>
    </w:p>
    <w:p>
      <w:pPr>
        <w:spacing w:after="60"/>
      </w:pPr>
    </w:p>
    <w:p>
      <w:pPr>
        <w:spacing w:after="120"/>
      </w:pPr>
      <w:r>
        <w:rPr>
          <w:rFonts w:ascii="Arial" w:cs="Arial" w:eastAsia="Arial" w:hAnsi="Arial"/>
          <w:b/>
          <w:bCs/>
          <w:sz w:val="22"/>
          <w:szCs w:val="22"/>
        </w:rPr>
        <w:t xml:space="preserve">Proceed to final packaging, repository commit, and controlled external review.</w:t>
      </w:r>
    </w:p>
    <w:p>
      <w:pPr>
        <w:spacing w:after="60"/>
      </w:pPr>
    </w:p>
    <w:p>
      <w:pPr>
        <w:spacing w:after="120"/>
      </w:pPr>
      <w:r>
        <w:rPr>
          <w:rFonts w:ascii="Arial" w:cs="Arial" w:eastAsia="Arial" w:hAnsi="Arial"/>
          <w:sz w:val="22"/>
          <w:szCs w:val="22"/>
        </w:rPr>
        <w:t xml:space="preserve">The release candidate stack is ready for:</w:t>
      </w:r>
    </w:p>
    <w:p>
      <w:pPr>
        <w:pStyle w:val="ListParagraph"/>
        <w:numPr>
          <w:ilvl w:val="0"/>
          <w:numId w:val="2"/>
        </w:numPr>
      </w:pPr>
      <w:r>
        <w:rPr>
          <w:rFonts w:ascii="Arial" w:cs="Arial" w:eastAsia="Arial" w:hAnsi="Arial"/>
          <w:sz w:val="22"/>
          <w:szCs w:val="22"/>
        </w:rPr>
        <w:t xml:space="preserve">Repository commit to </w:t>
      </w:r>
      <w:r>
        <w:rPr>
          <w:rFonts w:ascii="Courier New" w:cs="Courier New" w:eastAsia="Courier New" w:hAnsi="Courier New"/>
          <w:color w:val="C7254E"/>
          <w:sz w:val="20"/>
          <w:szCs w:val="20"/>
        </w:rPr>
        <w:t xml:space="preserve">https://github.com/magicianzcardstockllc/asro</w:t>
      </w:r>
    </w:p>
    <w:p>
      <w:pPr>
        <w:pStyle w:val="ListParagraph"/>
        <w:numPr>
          <w:ilvl w:val="0"/>
          <w:numId w:val="2"/>
        </w:numPr>
      </w:pPr>
      <w:r>
        <w:rPr>
          <w:rFonts w:ascii="Arial" w:cs="Arial" w:eastAsia="Arial" w:hAnsi="Arial"/>
          <w:sz w:val="22"/>
          <w:szCs w:val="22"/>
        </w:rPr>
        <w:t xml:space="preserve">Institutional outreach with updated letters referencing the Meter Agent architecture</w:t>
      </w:r>
    </w:p>
    <w:p>
      <w:pPr>
        <w:pStyle w:val="ListParagraph"/>
        <w:numPr>
          <w:ilvl w:val="0"/>
          <w:numId w:val="2"/>
        </w:numPr>
      </w:pPr>
      <w:r>
        <w:rPr>
          <w:rFonts w:ascii="Arial" w:cs="Arial" w:eastAsia="Arial" w:hAnsi="Arial"/>
          <w:sz w:val="22"/>
          <w:szCs w:val="22"/>
        </w:rPr>
        <w:t xml:space="preserve">Attorney review of governance documents before formal regulatory submission</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2026-04-07T08:36:07.279Z</dcterms:created>
  <dcterms:modified xsi:type="dcterms:W3CDTF">2026-04-07T08:36:07.279Z</dcterms:modified>
</cp:coreProperties>
</file>

<file path=docProps/custom.xml><?xml version="1.0" encoding="utf-8"?>
<Properties xmlns="http://schemas.openxmlformats.org/officeDocument/2006/custom-properties" xmlns:vt="http://schemas.openxmlformats.org/officeDocument/2006/docPropsVTypes"/>
</file>