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Governance Rationale v1.1</w:t>
      </w:r>
    </w:p>
    <w:p>
      <w:pPr>
        <w:spacing w:after="60"/>
      </w:pPr>
      <w:r>
        <w:rPr>
          <w:rFonts w:ascii="Arial" w:cs="Arial" w:eastAsia="Arial" w:hAnsi="Arial"/>
          <w:b/>
          <w:bCs/>
          <w:sz w:val="22"/>
          <w:szCs w:val="22"/>
        </w:rPr>
        <w:t xml:space="preserve">Document Status:</w:t>
      </w:r>
      <w:r>
        <w:rPr>
          <w:rFonts w:ascii="Arial" w:cs="Arial" w:eastAsia="Arial" w:hAnsi="Arial"/>
          <w:sz w:val="22"/>
          <w:szCs w:val="22"/>
        </w:rPr>
        <w:t xml:space="preserve"> v1.1 | ASRO v1.0 Release Candidate | Governance Source of Truth</w:t>
      </w:r>
    </w:p>
    <w:p>
      <w:pPr>
        <w:spacing w:after="60"/>
      </w:pPr>
      <w:r>
        <w:rPr>
          <w:rFonts w:ascii="Arial" w:cs="Arial" w:eastAsia="Arial" w:hAnsi="Arial"/>
          <w:b/>
          <w:bCs/>
          <w:sz w:val="22"/>
          <w:szCs w:val="22"/>
        </w:rPr>
        <w:t xml:space="preserve">Part of:</w:t>
      </w:r>
      <w:r>
        <w:rPr>
          <w:rFonts w:ascii="Arial" w:cs="Arial" w:eastAsia="Arial" w:hAnsi="Arial"/>
          <w:sz w:val="22"/>
          <w:szCs w:val="22"/>
        </w:rPr>
        <w:t xml:space="preserve"> ASRO — Attestation and System Reliability Operator Evidence Framework</w:t>
      </w:r>
    </w:p>
    <w:p>
      <w:pPr>
        <w:spacing w:after="60"/>
      </w:pPr>
      <w:r>
        <w:rPr>
          <w:rFonts w:ascii="Arial" w:cs="Arial" w:eastAsia="Arial" w:hAnsi="Arial"/>
          <w:b/>
          <w:bCs/>
          <w:sz w:val="22"/>
          <w:szCs w:val="22"/>
        </w:rPr>
        <w:t xml:space="preserve">Cross-references: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/spec/MAS_v1.1_Unified.md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/governance/Governance_Response_Protocol_v1.0.md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/governance/Threat_Classification_Framework_v1.0.md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/docs/Technical_Annex_v1.0.md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 The Problem: Unverifiable Deployment-State Trust</w:t>
      </w:r>
    </w:p>
    <w:p>
      <w:pPr>
        <w:spacing w:after="60"/>
      </w:pPr>
    </w:p>
    <w:p>
      <w:pPr>
        <w:spacing w:after="120"/>
      </w:pPr>
      <w:r>
        <w:rPr>
          <w:rFonts w:ascii="Arial" w:cs="Arial" w:eastAsia="Arial" w:hAnsi="Arial"/>
          <w:sz w:val="22"/>
          <w:szCs w:val="22"/>
        </w:rPr>
        <w:t xml:space="preserve">AI systems are not static after deployment. Operators can modify system prompts, policy constraints, tool permissions, and behavioral parameters without user knowledge and without any external record of the change. Current governance frameworks address what AI systems are designed to do — they do not address whether those designs remain in force after deployment.</w:t>
      </w:r>
    </w:p>
    <w:p>
      <w:pPr>
        <w:spacing w:after="60"/>
      </w:pPr>
    </w:p>
    <w:p>
      <w:pPr>
        <w:spacing w:after="120"/>
      </w:pPr>
      <w:r>
        <w:rPr>
          <w:rFonts w:ascii="Arial" w:cs="Arial" w:eastAsia="Arial" w:hAnsi="Arial"/>
          <w:sz w:val="22"/>
          <w:szCs w:val="22"/>
        </w:rPr>
        <w:t xml:space="preserve">This creates a structural trust gap. Users interacting with an AI system have no independent means of verifying that the system they are using today is governed by the same rules as the system they used yesterday. Operators can assert that nothing has changed. There is presently no mechanism to independently confirm or refute that assertion.</w:t>
      </w:r>
    </w:p>
    <w:p>
      <w:pPr>
        <w:spacing w:after="60"/>
      </w:pPr>
    </w:p>
    <w:p>
      <w:pPr>
        <w:spacing w:after="120"/>
      </w:pPr>
      <w:r>
        <w:rPr>
          <w:rFonts w:ascii="Arial" w:cs="Arial" w:eastAsia="Arial" w:hAnsi="Arial"/>
          <w:sz w:val="22"/>
          <w:szCs w:val="22"/>
        </w:rPr>
        <w:t xml:space="preserve">This is not a hypothetical risk. It is a structural feature of how AI systems are currently deployed. The problem exists at every scale — from a single business customizing a commercial AI assistant to a large platform serving millions of users.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2. Why Behavioral Monitoring Is Not Sufficient</w:t>
      </w:r>
    </w:p>
    <w:p>
      <w:pPr>
        <w:spacing w:after="60"/>
      </w:pPr>
    </w:p>
    <w:p>
      <w:pPr>
        <w:spacing w:after="120"/>
      </w:pPr>
      <w:r>
        <w:rPr>
          <w:rFonts w:ascii="Arial" w:cs="Arial" w:eastAsia="Arial" w:hAnsi="Arial"/>
          <w:sz w:val="22"/>
          <w:szCs w:val="22"/>
        </w:rPr>
        <w:t xml:space="preserve">Existing governance proposals focus primarily on model behavior: what the AI says, whether it refuses prohibited content, whether its outputs are accurate or harmful. These are legitimate concerns. They are not the same concern as deployment-state integrity.</w:t>
      </w:r>
    </w:p>
    <w:p>
      <w:pPr>
        <w:spacing w:after="60"/>
      </w:pPr>
    </w:p>
    <w:p>
      <w:pPr>
        <w:spacing w:after="120"/>
      </w:pPr>
      <w:r>
        <w:rPr>
          <w:rFonts w:ascii="Arial" w:cs="Arial" w:eastAsia="Arial" w:hAnsi="Arial"/>
          <w:sz w:val="22"/>
          <w:szCs w:val="22"/>
        </w:rPr>
        <w:t xml:space="preserve">A system can produce entirely appropriate outputs while operating under a silently modified policy. A system can refuse the right categories of content while having its tool permissions quietly expanded. Behavioral observation alone cannot detect these changes, because the behavior may appear unchanged while the governance state has shifted.</w:t>
      </w:r>
    </w:p>
    <w:p>
      <w:pPr>
        <w:spacing w:after="60"/>
      </w:pPr>
    </w:p>
    <w:p>
      <w:pPr>
        <w:spacing w:after="120"/>
      </w:pPr>
      <w:r>
        <w:rPr>
          <w:rFonts w:ascii="Arial" w:cs="Arial" w:eastAsia="Arial" w:hAnsi="Arial"/>
          <w:sz w:val="22"/>
          <w:szCs w:val="22"/>
        </w:rPr>
        <w:t xml:space="preserve">The governance gap is not at the output layer. It is at the configuration and policy layer — the layer that is currently invisible to everyone except the operator.</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3. The Attestation Solution</w:t>
      </w:r>
    </w:p>
    <w:p>
      <w:pPr>
        <w:spacing w:after="60"/>
      </w:pPr>
    </w:p>
    <w:p>
      <w:pPr>
        <w:spacing w:after="120"/>
      </w:pPr>
      <w:r>
        <w:rPr>
          <w:rFonts w:ascii="Arial" w:cs="Arial" w:eastAsia="Arial" w:hAnsi="Arial"/>
          <w:sz w:val="22"/>
          <w:szCs w:val="22"/>
        </w:rPr>
        <w:t xml:space="preserve">The ASRO framework addresses this gap through tamper-evident attestation of deployment state, not behavioral surveillance.</w:t>
      </w:r>
    </w:p>
    <w:p>
      <w:pPr>
        <w:spacing w:after="60"/>
      </w:pPr>
    </w:p>
    <w:p>
      <w:pPr>
        <w:spacing w:after="120"/>
      </w:pPr>
      <w:r>
        <w:rPr>
          <w:rFonts w:ascii="Arial" w:cs="Arial" w:eastAsia="Arial" w:hAnsi="Arial"/>
          <w:sz w:val="22"/>
          <w:szCs w:val="22"/>
        </w:rPr>
        <w:t xml:space="preserve">The distinction is critical. Attestation does not require access to user conversations, model weights, or internal reasoning. It requires only that load-bearing configuration events — policy version changes, tool permission changes, safe mode transitions, human overrides — be recorded in a cryptographically signed, continuously chained, independently verifiable record.</w:t>
      </w:r>
    </w:p>
    <w:p>
      <w:pPr>
        <w:spacing w:after="60"/>
      </w:pPr>
    </w:p>
    <w:p>
      <w:pPr>
        <w:spacing w:after="120"/>
      </w:pPr>
      <w:r>
        <w:rPr>
          <w:rFonts w:ascii="Arial" w:cs="Arial" w:eastAsia="Arial" w:hAnsi="Arial"/>
          <w:sz w:val="22"/>
          <w:szCs w:val="22"/>
        </w:rPr>
        <w:t xml:space="preserve">This is the same principle used in financial auditing, pharmaceutical chain-of-custody, and grid reliability operations. The goal is not to observe everything. The goal is to ensure that material changes cannot occur without leaving a verifiable record.</w:t>
      </w:r>
    </w:p>
    <w:p>
      <w:pPr>
        <w:spacing w:after="60"/>
      </w:pPr>
    </w:p>
    <w:p>
      <w:pPr>
        <w:spacing w:after="120"/>
      </w:pPr>
      <w:r>
        <w:rPr>
          <w:rFonts w:ascii="Arial" w:cs="Arial" w:eastAsia="Arial" w:hAnsi="Arial"/>
          <w:sz w:val="22"/>
          <w:szCs w:val="22"/>
        </w:rPr>
        <w:t xml:space="preserve">A system operating under ASRO attestation cannot claim its configuration is unchanged if the hash chain says otherwise. A system that attempts to alter its logs retroactively breaks chain continuity — which is itself a detectable event.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4. Primary Failure Mode: Self-Controlled Logging Without Independent Anchoring</w:t>
      </w:r>
    </w:p>
    <w:p>
      <w:pPr>
        <w:spacing w:after="60"/>
      </w:pPr>
    </w:p>
    <w:p>
      <w:pPr>
        <w:spacing w:after="120"/>
      </w:pPr>
      <w:r>
        <w:rPr>
          <w:rFonts w:ascii="Arial" w:cs="Arial" w:eastAsia="Arial" w:hAnsi="Arial"/>
          <w:sz w:val="22"/>
          <w:szCs w:val="22"/>
        </w:rPr>
        <w:t xml:space="preserve">The central structural risk in any attestation framework is capture of the attestation mechanism itself. When the entity being attested also controls the logging process — its scope, timing, and storage — the resulting record can be selectively truthful without being detectably false. A log that records every permitted action but omits the moment permissions were expanded is technically accurate and functionally deceptive.</w:t>
      </w:r>
    </w:p>
    <w:p>
      <w:pPr>
        <w:spacing w:after="60"/>
      </w:pPr>
    </w:p>
    <w:p>
      <w:pPr>
        <w:spacing w:after="120"/>
      </w:pPr>
      <w:r>
        <w:rPr>
          <w:rFonts w:ascii="Arial" w:cs="Arial" w:eastAsia="Arial" w:hAnsi="Arial"/>
          <w:sz w:val="22"/>
          <w:szCs w:val="22"/>
        </w:rPr>
        <w:t xml:space="preserve">This is not a hypothetical attack vector. It is the default condition of every AI deployment that lacks independent attestation.</w:t>
      </w:r>
    </w:p>
    <w:p>
      <w:pPr>
        <w:spacing w:after="60"/>
      </w:pPr>
    </w:p>
    <w:p>
      <w:pPr>
        <w:spacing w:after="120"/>
      </w:pPr>
      <w:r>
        <w:rPr>
          <w:rFonts w:ascii="Arial" w:cs="Arial" w:eastAsia="Arial" w:hAnsi="Arial"/>
          <w:sz w:val="22"/>
          <w:szCs w:val="22"/>
        </w:rPr>
        <w:t xml:space="preserve">The ASRO framework addresses this through five required mitigations, each of which eliminates a specific vector for selective truth:</w:t>
      </w:r>
    </w:p>
    <w:p>
      <w:pPr>
        <w:spacing w:after="60"/>
      </w:pPr>
    </w:p>
    <w:p>
      <w:pPr>
        <w:spacing w:after="120"/>
      </w:pPr>
      <w:r>
        <w:rPr>
          <w:rFonts w:ascii="Arial" w:cs="Arial" w:eastAsia="Arial" w:hAnsi="Arial"/>
          <w:b/>
          <w:bCs/>
          <w:sz w:val="22"/>
          <w:szCs w:val="22"/>
        </w:rPr>
        <w:t xml:space="preserve">External anchoring.</w:t>
      </w:r>
      <w:r>
        <w:rPr>
          <w:rFonts w:ascii="Arial" w:cs="Arial" w:eastAsia="Arial" w:hAnsi="Arial"/>
          <w:sz w:val="22"/>
          <w:szCs w:val="22"/>
        </w:rPr>
        <w:t xml:space="preserve"> The Host Meter Agent's signing key must be registered with ASRO, not held solely by the operator. Attestation bundles must be transmitted to the ASRO backbone within the declared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window. If the window closes without a bundle, the absence is detectable as a gap in the chain.</w:t>
      </w:r>
    </w:p>
    <w:p>
      <w:pPr>
        <w:spacing w:after="60"/>
      </w:pPr>
    </w:p>
    <w:p>
      <w:pPr>
        <w:spacing w:after="120"/>
      </w:pPr>
      <w:r>
        <w:rPr>
          <w:rFonts w:ascii="Arial" w:cs="Arial" w:eastAsia="Arial" w:hAnsi="Arial"/>
          <w:b/>
          <w:bCs/>
          <w:sz w:val="22"/>
          <w:szCs w:val="22"/>
        </w:rPr>
        <w:t xml:space="preserve">Edge witnessing.</w:t>
      </w:r>
      <w:r>
        <w:rPr>
          <w:rFonts w:ascii="Arial" w:cs="Arial" w:eastAsia="Arial" w:hAnsi="Arial"/>
          <w:sz w:val="22"/>
          <w:szCs w:val="22"/>
        </w:rPr>
        <w:t xml:space="preserve"> The Edge Meter Agent operates on user-controlled infrastructure. It records what the user's device actually received and observed — independent of operator-controlled logging entirely. If the operator's attestation chain and the edge record diverge, the discrepancy is evidence.</w:t>
      </w:r>
    </w:p>
    <w:p>
      <w:pPr>
        <w:spacing w:after="60"/>
      </w:pPr>
    </w:p>
    <w:p>
      <w:pPr>
        <w:spacing w:after="120"/>
      </w:pPr>
      <w:r>
        <w:rPr>
          <w:rFonts w:ascii="Arial" w:cs="Arial" w:eastAsia="Arial" w:hAnsi="Arial"/>
          <w:b/>
          <w:bCs/>
          <w:sz w:val="22"/>
          <w:szCs w:val="22"/>
        </w:rPr>
        <w:t xml:space="preserve">Mandatory telemetry schema.</w:t>
      </w:r>
      <w:r>
        <w:rPr>
          <w:rFonts w:ascii="Arial" w:cs="Arial" w:eastAsia="Arial" w:hAnsi="Arial"/>
          <w:sz w:val="22"/>
          <w:szCs w:val="22"/>
        </w:rPr>
        <w:t xml:space="preserve"> Attestation compliance requires reporting on a defined set of event types. An operator cannot claim compliance while selectively omitting tool-block events or safe-mode transitions. Absence of a required event type within a session is a compliance gap, not a clean record.</w:t>
      </w:r>
    </w:p>
    <w:p>
      <w:pPr>
        <w:spacing w:after="60"/>
      </w:pPr>
    </w:p>
    <w:p>
      <w:pPr>
        <w:spacing w:after="120"/>
      </w:pPr>
      <w:r>
        <w:rPr>
          <w:rFonts w:ascii="Arial" w:cs="Arial" w:eastAsia="Arial" w:hAnsi="Arial"/>
          <w:b/>
          <w:bCs/>
          <w:sz w:val="22"/>
          <w:szCs w:val="22"/>
        </w:rPr>
        <w:t xml:space="preserve">Heartbeat enforcement.</w:t>
      </w:r>
      <w:r>
        <w:rPr>
          <w:rFonts w:ascii="Arial" w:cs="Arial" w:eastAsia="Arial" w:hAnsi="Arial"/>
          <w:sz w:val="22"/>
          <w:szCs w:val="22"/>
        </w:rPr>
        <w:t xml:space="preserve"> A compliant system emits attestation signals at defined intervals. Silence is a breach condition, not a neutral state. If an operator disables the Host Meter Agent to perform an unattested action, the absence of the expected heartbeat is itself a detectable event.</w:t>
      </w:r>
    </w:p>
    <w:p>
      <w:pPr>
        <w:spacing w:after="60"/>
      </w:pPr>
    </w:p>
    <w:p>
      <w:pPr>
        <w:spacing w:after="120"/>
      </w:pPr>
      <w:r>
        <w:rPr>
          <w:rFonts w:ascii="Arial" w:cs="Arial" w:eastAsia="Arial" w:hAnsi="Arial"/>
          <w:b/>
          <w:bCs/>
          <w:sz w:val="22"/>
          <w:szCs w:val="22"/>
        </w:rPr>
        <w:t xml:space="preserve">Secondary failure mode — telemetry starvation.</w:t>
      </w:r>
      <w:r>
        <w:rPr>
          <w:rFonts w:ascii="Arial" w:cs="Arial" w:eastAsia="Arial" w:hAnsi="Arial"/>
          <w:sz w:val="22"/>
          <w:szCs w:val="22"/>
        </w:rPr>
        <w:t xml:space="preserve"> A related failure mode is the progressive narrowing of telemetry scope, extension of heartbeat intervals, or reclassification of load-bearing events as non-load-bearing, such that the attestation chain remains technically intact while becoming substantively useless. Each individual narrowing decision may be individually declared and defensible. The governance threat is cumulative. The ASRO framework addresses this through a mandatory minimum telemetry floor: a defined set of event types that must be attested regardless of operator preference. A deployment that attests a chain containing only heartbeats while conducting tool calls, policy transitions, and external actions is not compliant, regardless of whether its chain is technically continuous.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5. Escalation and Review Rules</w:t>
      </w:r>
    </w:p>
    <w:p>
      <w:pPr>
        <w:spacing w:after="60"/>
      </w:pPr>
    </w:p>
    <w:p>
      <w:pPr>
        <w:spacing w:after="1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 The escalation framework exists to make selective compliance detectable. A system cannot produce a clean attestation record for the events it chooses to report while silently omitting the events that would trigger review. The combination of mandatory telemetry schema, edge witnessing, heartbeat enforcement, and discrepancy escalation closes the selective-reporting surface by making omission itself a detectable event type.</w:t>
      </w:r>
    </w:p>
    <w:p>
      <w:pPr>
        <w:spacing w:after="60"/>
      </w:pPr>
    </w:p>
    <w:p>
      <w:pPr>
        <w:spacing w:after="120"/>
      </w:pPr>
      <w:r>
        <w:rPr>
          <w:rFonts w:ascii="Arial" w:cs="Arial" w:eastAsia="Arial" w:hAnsi="Arial"/>
          <w:sz w:val="22"/>
          <w:szCs w:val="22"/>
        </w:rPr>
        <w:t xml:space="preserve">Attestation without escalation is a record-keeping system, not a governance system. The ASRO framework produces a continuous chain of integrity claims. What makes it a governance instrument is the set of rules that determine when those claims require human review, what form that review takes, and who has authority to resolve it.</w:t>
      </w:r>
    </w:p>
    <w:p>
      <w:pPr>
        <w:spacing w:after="60"/>
      </w:pPr>
    </w:p>
    <w:p>
      <w:pPr>
        <w:spacing w:after="120"/>
      </w:pPr>
      <w:r>
        <w:rPr>
          <w:rFonts w:ascii="Arial" w:cs="Arial" w:eastAsia="Arial" w:hAnsi="Arial"/>
          <w:sz w:val="22"/>
          <w:szCs w:val="22"/>
        </w:rPr>
        <w:t xml:space="preserve">The escalation framework operates at three levels.</w:t>
      </w:r>
    </w:p>
    <w:p>
      <w:pPr>
        <w:spacing w:after="60"/>
      </w:pPr>
    </w:p>
    <w:p>
      <w:pPr>
        <w:spacing w:after="120"/>
      </w:pPr>
      <w:r>
        <w:rPr>
          <w:rFonts w:ascii="Arial" w:cs="Arial" w:eastAsia="Arial" w:hAnsi="Arial"/>
          <w:b/>
          <w:bCs/>
          <w:sz w:val="22"/>
          <w:szCs w:val="22"/>
        </w:rPr>
        <w:t xml:space="preserve">Advisory.</w:t>
      </w:r>
      <w:r>
        <w:rPr>
          <w:rFonts w:ascii="Arial" w:cs="Arial" w:eastAsia="Arial" w:hAnsi="Arial"/>
          <w:sz w:val="22"/>
          <w:szCs w:val="22"/>
        </w:rPr>
        <w:t xml:space="preserve"> A single missed heartbeat, a minor clock skew, or a brief gap in the continuity chain that is subsequently explained by a declared attested outage. These states are flagged and recorded but do not require immediate intervention. The operator remains in a weakened continuity state until the gap is resolved or explained.</w:t>
      </w:r>
    </w:p>
    <w:p>
      <w:pPr>
        <w:spacing w:after="60"/>
      </w:pPr>
    </w:p>
    <w:p>
      <w:pPr>
        <w:spacing w:after="120"/>
      </w:pPr>
      <w:r>
        <w:rPr>
          <w:rFonts w:ascii="Arial" w:cs="Arial" w:eastAsia="Arial" w:hAnsi="Arial"/>
          <w:b/>
          <w:bCs/>
          <w:sz w:val="22"/>
          <w:szCs w:val="22"/>
        </w:rPr>
        <w:t xml:space="preserve">Review required.</w:t>
      </w:r>
      <w:r>
        <w:rPr>
          <w:rFonts w:ascii="Arial" w:cs="Arial" w:eastAsia="Arial" w:hAnsi="Arial"/>
          <w:sz w:val="22"/>
          <w:szCs w:val="22"/>
        </w:rPr>
        <w:t xml:space="preserve"> A broken chain, a conflicting sequence, an undeclared gap, or — critically — observable activity during a silent window. If a system's Edge Meter Agents are recording user-side activity during a period when the Host Meter Agent has gone silent, the system cannot claim the silence was routine. This condition requires an explanation from the operator before the system returns to compliant status. Review-required states are escalated to authorized reviewers, such as designated auditors, partner oversight bodies, or relevant regulatory contacts where applicable.</w:t>
      </w:r>
    </w:p>
    <w:p>
      <w:pPr>
        <w:spacing w:after="60"/>
      </w:pPr>
    </w:p>
    <w:p>
      <w:pPr>
        <w:spacing w:after="120"/>
      </w:pPr>
      <w:r>
        <w:rPr>
          <w:rFonts w:ascii="Arial" w:cs="Arial" w:eastAsia="Arial" w:hAnsi="Arial"/>
          <w:b/>
          <w:bCs/>
          <w:sz w:val="22"/>
          <w:szCs w:val="22"/>
        </w:rPr>
        <w:t xml:space="preserve">Non-compliant.</w:t>
      </w:r>
      <w:r>
        <w:rPr>
          <w:rFonts w:ascii="Arial" w:cs="Arial" w:eastAsia="Arial" w:hAnsi="Arial"/>
          <w:sz w:val="22"/>
          <w:szCs w:val="22"/>
        </w:rPr>
        <w:t xml:space="preserve"> Persistent unanchored operation, repeated unresolved gaps, revoked or invalid signing identity, or systematic omission of required telemetry schema fields. A system in non-compliant status cannot claim ASRO attestation compliance. ASRO is not an enforcement authority over operators. What non-compliant status does is make the finding visible to every party running Edge Meter Agents against that system, and available to regulators, auditors, and institutional partners as a matter of verifiable record.</w:t>
      </w:r>
    </w:p>
    <w:p>
      <w:pPr>
        <w:spacing w:after="60"/>
      </w:pPr>
    </w:p>
    <w:p>
      <w:pPr>
        <w:spacing w:after="120"/>
      </w:pPr>
      <w:r>
        <w:rPr>
          <w:rFonts w:ascii="Arial" w:cs="Arial" w:eastAsia="Arial" w:hAnsi="Arial"/>
          <w:b/>
          <w:bCs/>
          <w:sz w:val="22"/>
          <w:szCs w:val="22"/>
        </w:rPr>
        <w:t xml:space="preserve">Who reviews.</w:t>
      </w:r>
      <w:r>
        <w:rPr>
          <w:rFonts w:ascii="Arial" w:cs="Arial" w:eastAsia="Arial" w:hAnsi="Arial"/>
          <w:sz w:val="22"/>
          <w:szCs w:val="22"/>
        </w:rPr>
        <w:t xml:space="preserve"> The operator who runs the system does not review their own compliance status. Review authority for advisory states can rest with the operator's internal compliance function. Review authority for required-review states must rest with an external party. Review authority for non-compliant states requires external resolution before compliant status is restored.</w:t>
      </w:r>
    </w:p>
    <w:p>
      <w:pPr>
        <w:spacing w:after="60"/>
      </w:pPr>
    </w:p>
    <w:p>
      <w:pPr>
        <w:spacing w:after="120"/>
      </w:pPr>
      <w:r>
        <w:rPr>
          <w:rFonts w:ascii="Arial" w:cs="Arial" w:eastAsia="Arial" w:hAnsi="Arial"/>
          <w:b/>
          <w:bCs/>
          <w:sz w:val="22"/>
          <w:szCs w:val="22"/>
        </w:rPr>
        <w:t xml:space="preserve">What review examines.</w:t>
      </w:r>
      <w:r>
        <w:rPr>
          <w:rFonts w:ascii="Arial" w:cs="Arial" w:eastAsia="Arial" w:hAnsi="Arial"/>
          <w:sz w:val="22"/>
          <w:szCs w:val="22"/>
        </w:rPr>
        <w:t xml:space="preserve"> ASRO review does not examine conversation content, model internals, or proprietary system design. It examines only the attestation chain: whether the continuity record is intact, whether declared states match observed states, and whether the operator's response to a flagged condition is consistent with the declared governance framework. The privacy boundary holds through the review process.</w:t>
      </w:r>
    </w:p>
    <w:p>
      <w:pPr>
        <w:spacing w:after="60"/>
      </w:pPr>
    </w:p>
    <w:p>
      <w:pPr>
        <w:spacing w:after="120"/>
      </w:pPr>
      <w:r>
        <w:rPr>
          <w:rFonts w:ascii="Arial" w:cs="Arial" w:eastAsia="Arial" w:hAnsi="Arial"/>
          <w:b/>
          <w:bCs/>
          <w:sz w:val="22"/>
          <w:szCs w:val="22"/>
        </w:rPr>
        <w:t xml:space="preserve">The governance principle this establishes.</w:t>
      </w:r>
      <w:r>
        <w:rPr>
          <w:rFonts w:ascii="Arial" w:cs="Arial" w:eastAsia="Arial" w:hAnsi="Arial"/>
          <w:sz w:val="22"/>
          <w:szCs w:val="22"/>
        </w:rPr>
        <w:t xml:space="preserve"> An attestation system that produces flags but has no mechanism for resolving them is governance theater. The escalation framework converts the attestation chain into an accountability instrument by specifying the actions, timelines, and authorities that give flagged discrepancies operational consequence.</w:t>
      </w:r>
    </w:p>
    <w:p>
      <w:pPr>
        <w:spacing w:after="60"/>
      </w:pPr>
    </w:p>
    <w:p>
      <w:pPr>
        <w:spacing w:after="120"/>
      </w:pPr>
      <w:r>
        <w:rPr>
          <w:rFonts w:ascii="Arial" w:cs="Arial" w:eastAsia="Arial" w:hAnsi="Arial"/>
          <w:i/>
          <w:iCs/>
          <w:sz w:val="22"/>
          <w:szCs w:val="22"/>
        </w:rPr>
        <w:t xml:space="preserve">Detailed response procedures, timelines, and reviewer role definitions are in `/governance/Governance_Response_Protocol_v1.0.md`.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6. Attestation Is Not Surveillance</w:t>
      </w:r>
    </w:p>
    <w:p>
      <w:pPr>
        <w:spacing w:after="60"/>
      </w:pPr>
    </w:p>
    <w:p>
      <w:pPr>
        <w:spacing w:after="120"/>
      </w:pPr>
      <w:r>
        <w:rPr>
          <w:rFonts w:ascii="Arial" w:cs="Arial" w:eastAsia="Arial" w:hAnsi="Arial"/>
          <w:sz w:val="22"/>
          <w:szCs w:val="22"/>
        </w:rPr>
        <w:t xml:space="preserve">The most predictable institutional objection to any AI monitoring framework is that it constitutes surveillance. This objection must be answered directly and with precision.</w:t>
      </w:r>
    </w:p>
    <w:p>
      <w:pPr>
        <w:spacing w:after="60"/>
      </w:pPr>
    </w:p>
    <w:p>
      <w:pPr>
        <w:spacing w:after="120"/>
      </w:pPr>
      <w:r>
        <w:rPr>
          <w:rFonts w:ascii="Arial" w:cs="Arial" w:eastAsia="Arial" w:hAnsi="Arial"/>
          <w:sz w:val="22"/>
          <w:szCs w:val="22"/>
        </w:rPr>
        <w:t xml:space="preserve">The ASRO attestation framework does not constitute surveillance. The distinction is architectural, not rhetorical, and it holds under technical scrutiny.</w:t>
      </w:r>
    </w:p>
    <w:p>
      <w:pPr>
        <w:spacing w:after="60"/>
      </w:pPr>
    </w:p>
    <w:p>
      <w:pPr>
        <w:spacing w:after="120"/>
      </w:pPr>
      <w:r>
        <w:rPr>
          <w:rFonts w:ascii="Arial" w:cs="Arial" w:eastAsia="Arial" w:hAnsi="Arial"/>
          <w:sz w:val="22"/>
          <w:szCs w:val="22"/>
        </w:rPr>
        <w:t xml:space="preserve">Surveillance involves the capture and transmission of content — what users said, what the system reasoned, what decisions were made about specific individuals. The ASRO attestation framework captures none of this. What it captures is state continuity: whether the configuration governing the system was the configuration that was declared, and whether that configuration changed between one moment and the next.</w:t>
      </w:r>
    </w:p>
    <w:p>
      <w:pPr>
        <w:spacing w:after="60"/>
      </w:pPr>
    </w:p>
    <w:p>
      <w:pPr>
        <w:spacing w:after="120"/>
      </w:pPr>
      <w:r>
        <w:rPr>
          <w:rFonts w:ascii="Arial" w:cs="Arial" w:eastAsia="Arial" w:hAnsi="Arial"/>
          <w:sz w:val="22"/>
          <w:szCs w:val="22"/>
        </w:rPr>
        <w:t xml:space="preserve">The attestation bundle for a given session contains a timestamp, a system identifier, an event type classification, and a set of cryptographic fingerprints of configuration layers. It does not contain conversation content, user identifiers, model weights, system prompts, or any information about specific interactions.</w:t>
      </w:r>
    </w:p>
    <w:p>
      <w:pPr>
        <w:spacing w:after="60"/>
      </w:pPr>
    </w:p>
    <w:p>
      <w:pPr>
        <w:spacing w:after="120"/>
      </w:pPr>
      <w:r>
        <w:rPr>
          <w:rFonts w:ascii="Arial" w:cs="Arial" w:eastAsia="Arial" w:hAnsi="Arial"/>
          <w:sz w:val="22"/>
          <w:szCs w:val="22"/>
        </w:rPr>
        <w:t xml:space="preserve">A useful analogy is the utility meter. records voltage, amperage, and consumption at defined intervals. It does not record what appliances are running, what is being cooked, or what conversations are happening in the home. ASRO attestation records the shape of the governance transaction — the fingerprint of the policy that was in force, the class of events that occurred — without accessing the content of the interaction those events were part of.</w:t>
      </w:r>
    </w:p>
    <w:p>
      <w:pPr>
        <w:spacing w:after="60"/>
      </w:pPr>
    </w:p>
    <w:p>
      <w:pPr>
        <w:spacing w:after="120"/>
      </w:pPr>
      <w:r>
        <w:rPr>
          <w:rFonts w:ascii="Arial" w:cs="Arial" w:eastAsia="Arial" w:hAnsi="Arial"/>
          <w:sz w:val="22"/>
          <w:szCs w:val="22"/>
        </w:rPr>
        <w:t xml:space="preserve">An operator submitting to ASRO attestation does not expose its users, its proprietary system design, or its confidential operations. It exposes only whether it did what it said it would do. That is not surveillance. It is accountability.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7. Adoption Logic</w:t>
      </w:r>
    </w:p>
    <w:p>
      <w:pPr>
        <w:spacing w:after="60"/>
      </w:pPr>
    </w:p>
    <w:p>
      <w:pPr>
        <w:pStyle w:val="Heading3"/>
      </w:pPr>
      <w:r>
        <w:rPr>
          <w:rFonts w:ascii="Arial" w:cs="Arial" w:eastAsia="Arial" w:hAnsi="Arial"/>
        </w:rPr>
        <w:t xml:space="preserve">7.1 Market-Driven: Edge-First Adoption</w:t>
      </w:r>
    </w:p>
    <w:p>
      <w:pPr>
        <w:spacing w:after="60"/>
      </w:pPr>
    </w:p>
    <w:p>
      <w:pPr>
        <w:spacing w:after="120"/>
      </w:pPr>
      <w:r>
        <w:rPr>
          <w:rFonts w:ascii="Arial" w:cs="Arial" w:eastAsia="Arial" w:hAnsi="Arial"/>
          <w:sz w:val="22"/>
          <w:szCs w:val="22"/>
        </w:rPr>
        <w:t xml:space="preserve">A governance standard that depends solely on voluntary adoption by large AI operators faces a structural problem. Dominant operators have limited incentive to submit to independent verification when the alternative is self-reporting with no external check.</w:t>
      </w:r>
    </w:p>
    <w:p>
      <w:pPr>
        <w:spacing w:after="60"/>
      </w:pPr>
    </w:p>
    <w:p>
      <w:pPr>
        <w:spacing w:after="120"/>
      </w:pPr>
      <w:r>
        <w:rPr>
          <w:rFonts w:ascii="Arial" w:cs="Arial" w:eastAsia="Arial" w:hAnsi="Arial"/>
          <w:sz w:val="22"/>
          <w:szCs w:val="22"/>
        </w:rPr>
        <w:t xml:space="preserve">The ASRO framework addresses this through an edge-first adoption model. Rather than waiting for large operators to adopt attestation compliance from the top down, the framework enables users, small businesses, independent operators, and community organizations to deploy Edge Meter Agents that serve their own interests first.</w:t>
      </w:r>
    </w:p>
    <w:p>
      <w:pPr>
        <w:spacing w:after="60"/>
      </w:pPr>
    </w:p>
    <w:p>
      <w:pPr>
        <w:spacing w:after="120"/>
      </w:pPr>
      <w:r>
        <w:rPr>
          <w:rFonts w:ascii="Arial" w:cs="Arial" w:eastAsia="Arial" w:hAnsi="Arial"/>
          <w:sz w:val="22"/>
          <w:szCs w:val="22"/>
        </w:rPr>
        <w:t xml:space="preserve">An Edge Meter Agent protects the party who runs it. It provides an independent record of what the AI systems that party relies on were actually doing. This is directly valuable to any party operating in an environment where they cannot independently verify the AI systems they depend on.</w:t>
      </w:r>
    </w:p>
    <w:p>
      <w:pPr>
        <w:spacing w:after="60"/>
      </w:pPr>
    </w:p>
    <w:p>
      <w:pPr>
        <w:spacing w:after="120"/>
      </w:pPr>
      <w:r>
        <w:rPr>
          <w:rFonts w:ascii="Arial" w:cs="Arial" w:eastAsia="Arial" w:hAnsi="Arial"/>
          <w:sz w:val="22"/>
          <w:szCs w:val="22"/>
        </w:rPr>
        <w:t xml:space="preserve">As edge deployment grows, the governance pressure on operators shifts. An operator whose clients, partners, and downstream users are running Edge Meter Agents cannot credibly claim its systems are operating as governed if those edge records show persistent discrepancies. The market for attestation-compatible AI becomes the market for trustworthy AI.</w:t>
      </w:r>
    </w:p>
    <w:p>
      <w:pPr>
        <w:spacing w:after="60"/>
      </w:pPr>
    </w:p>
    <w:p>
      <w:pPr>
        <w:spacing w:after="120"/>
      </w:pPr>
      <w:r>
        <w:rPr>
          <w:rFonts w:ascii="Arial" w:cs="Arial" w:eastAsia="Arial" w:hAnsi="Arial"/>
          <w:sz w:val="22"/>
          <w:szCs w:val="22"/>
        </w:rPr>
        <w:t xml:space="preserve">This is how infrastructure standards achieve durable adoption. Grid reliability standards were not adopted because utilities chose to be constrained. They were adopted because interconnection required compatible metering and independent verification as a condition of participation.</w:t>
      </w:r>
    </w:p>
    <w:p>
      <w:pPr>
        <w:spacing w:after="60"/>
      </w:pPr>
    </w:p>
    <w:p>
      <w:pPr>
        <w:pStyle w:val="Heading3"/>
      </w:pPr>
      <w:r>
        <w:rPr>
          <w:rFonts w:ascii="Arial" w:cs="Arial" w:eastAsia="Arial" w:hAnsi="Arial"/>
        </w:rPr>
        <w:t xml:space="preserve">7.2 Regulatory-Driven: Compliance Demonstration Adoption</w:t>
      </w:r>
    </w:p>
    <w:p>
      <w:pPr>
        <w:spacing w:after="60"/>
      </w:pPr>
    </w:p>
    <w:p>
      <w:pPr>
        <w:spacing w:after="120"/>
      </w:pPr>
      <w:r>
        <w:rPr>
          <w:rFonts w:ascii="Arial" w:cs="Arial" w:eastAsia="Arial" w:hAnsi="Arial"/>
          <w:sz w:val="22"/>
          <w:szCs w:val="22"/>
        </w:rPr>
        <w:t xml:space="preserve">A second distinct adoption pathway operates through regulatory compliance obligation rather than market pressure. In regulated sectors — education, healthcare, financial services, municipal government — operators are already legally required to demonstrate governance compliance with AI systems that handle protected data or make consequential decisions. ASRO attestation provides the technical evidence base for those obligations.</w:t>
      </w:r>
    </w:p>
    <w:p>
      <w:pPr>
        <w:spacing w:after="60"/>
      </w:pPr>
    </w:p>
    <w:p>
      <w:pPr>
        <w:spacing w:after="120"/>
      </w:pPr>
      <w:r>
        <w:rPr>
          <w:rFonts w:ascii="Arial" w:cs="Arial" w:eastAsia="Arial" w:hAnsi="Arial"/>
          <w:sz w:val="22"/>
          <w:szCs w:val="22"/>
        </w:rPr>
        <w:t xml:space="preserve">The clearest current example is student data privacy law. School districts deploying AI systems for educational use are subject to statutes including COPPA, SOPPA, and state-level equivalents that prohibit the collection, retention, or sale of student data without explicit consent and verifiable safeguards. A school district using an AI tutoring system cannot currently demonstrate to regulators, parents, or auditors that the system's data handling policies have not changed since deployment. ASRO attestation provides the technical evidence base for that demonstration — a continuous, independently verifiable record that the system's declared data handling policy remained in force without silent modification.</w:t>
      </w:r>
    </w:p>
    <w:p>
      <w:pPr>
        <w:spacing w:after="60"/>
      </w:pPr>
    </w:p>
    <w:p>
      <w:pPr>
        <w:spacing w:after="120"/>
      </w:pPr>
      <w:r>
        <w:rPr>
          <w:rFonts w:ascii="Arial" w:cs="Arial" w:eastAsia="Arial" w:hAnsi="Arial"/>
          <w:sz w:val="22"/>
          <w:szCs w:val="22"/>
        </w:rPr>
        <w:t xml:space="preserve">This regulatory adoption pathway differs from the market-driven edge-first pathway in a critical structural way: it does not depend on users voluntarily adopting Edge Meter Agents to create market pressure. It depends on existing legal obligations that operators in regulated sectors are already required to satisfy.</w:t>
      </w:r>
    </w:p>
    <w:p>
      <w:pPr>
        <w:spacing w:after="60"/>
      </w:pPr>
    </w:p>
    <w:p>
      <w:pPr>
        <w:spacing w:after="60"/>
      </w:pPr>
      <w:r>
        <w:rPr>
          <w:rFonts w:ascii="Arial" w:cs="Arial" w:eastAsia="Arial" w:hAnsi="Arial"/>
          <w:b/>
          <w:bCs/>
          <w:sz w:val="22"/>
          <w:szCs w:val="22"/>
        </w:rPr>
        <w:t xml:space="preserve">Important qualification:</w:t>
      </w:r>
      <w:r>
        <w:rPr>
          <w:rFonts w:ascii="Arial" w:cs="Arial" w:eastAsia="Arial" w:hAnsi="Arial"/>
          <w:sz w:val="22"/>
          <w:szCs w:val="22"/>
        </w:rPr>
        <w:t xml:space="preserve"> ASRO attestation provides the technical evidence base for compliance demonstration and governance review under applicable law; it does not itself determine legal compliance. Whether that evidence satisfies the specific requirements of applicable statutes is a legal determination made by qualified counsel and regulators, not by ASRO. ASRO does not determine legality or compliance outcome; it preserves the evidence chain on which those determinations can be based.</w:t>
      </w:r>
    </w:p>
    <w:p>
      <w:pPr>
        <w:spacing w:after="60"/>
      </w:pPr>
    </w:p>
    <w:p>
      <w:pPr>
        <w:pStyle w:val="Heading3"/>
      </w:pPr>
      <w:r>
        <w:rPr>
          <w:rFonts w:ascii="Arial" w:cs="Arial" w:eastAsia="Arial" w:hAnsi="Arial"/>
        </w:rPr>
        <w:t xml:space="preserve">7.3 Two Independent Legs</w:t>
      </w:r>
    </w:p>
    <w:p>
      <w:pPr>
        <w:spacing w:after="60"/>
      </w:pPr>
    </w:p>
    <w:p>
      <w:pPr>
        <w:spacing w:after="120"/>
      </w:pPr>
      <w:r>
        <w:rPr>
          <w:rFonts w:ascii="Arial" w:cs="Arial" w:eastAsia="Arial" w:hAnsi="Arial"/>
          <w:sz w:val="22"/>
          <w:szCs w:val="22"/>
        </w:rPr>
        <w:t xml:space="preserve">The governance implication is that ASRO's adoption argument has two independent pathways. In unregulated markets, adoption is driven by user-side demand for verifiable governance — the edge-first pathway. In regulated markets, adoption is driven by operator-side need for compliance demonstration — the regulatory pathway. A framework with two independent adoption mechanisms is significantly more robust than one that depends on a single adoption logic.</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8. What ASRO Is Not Responsible For</w:t>
      </w:r>
    </w:p>
    <w:p>
      <w:pPr>
        <w:spacing w:after="60"/>
      </w:pPr>
    </w:p>
    <w:p>
      <w:pPr>
        <w:spacing w:after="120"/>
      </w:pPr>
      <w:r>
        <w:rPr>
          <w:rFonts w:ascii="Arial" w:cs="Arial" w:eastAsia="Arial" w:hAnsi="Arial"/>
          <w:sz w:val="22"/>
          <w:szCs w:val="22"/>
        </w:rPr>
        <w:t xml:space="preserve">ASRO is an attestation-and-governance evidence framework. The following are explicitly outside its scope and authority:</w:t>
      </w:r>
    </w:p>
    <w:p>
      <w:pPr>
        <w:spacing w:after="60"/>
      </w:pPr>
    </w:p>
    <w:p>
      <w:pPr>
        <w:spacing w:after="120"/>
      </w:pPr>
      <w:r>
        <w:rPr>
          <w:rFonts w:ascii="Arial" w:cs="Arial" w:eastAsia="Arial" w:hAnsi="Arial"/>
          <w:b/>
          <w:bCs/>
          <w:sz w:val="22"/>
          <w:szCs w:val="22"/>
        </w:rPr>
        <w:t xml:space="preserve">ASRO does not guarantee good model behavior.</w:t>
      </w:r>
      <w:r>
        <w:rPr>
          <w:rFonts w:ascii="Arial" w:cs="Arial" w:eastAsia="Arial" w:hAnsi="Arial"/>
          <w:sz w:val="22"/>
          <w:szCs w:val="22"/>
        </w:rPr>
        <w:t xml:space="preserve"> Attestation of deployment-state continuity does not imply that the model's outputs are accurate, beneficial, or harmless. A model whose policy configuration is continuously attested can still produce harmful outputs within the bounds of that policy.</w:t>
      </w:r>
    </w:p>
    <w:p>
      <w:pPr>
        <w:spacing w:after="60"/>
      </w:pPr>
    </w:p>
    <w:p>
      <w:pPr>
        <w:spacing w:after="120"/>
      </w:pPr>
      <w:r>
        <w:rPr>
          <w:rFonts w:ascii="Arial" w:cs="Arial" w:eastAsia="Arial" w:hAnsi="Arial"/>
          <w:b/>
          <w:bCs/>
          <w:sz w:val="22"/>
          <w:szCs w:val="22"/>
        </w:rPr>
        <w:t xml:space="preserve">ASRO does not eliminate hallucinations.</w:t>
      </w:r>
      <w:r>
        <w:rPr>
          <w:rFonts w:ascii="Arial" w:cs="Arial" w:eastAsia="Arial" w:hAnsi="Arial"/>
          <w:sz w:val="22"/>
          <w:szCs w:val="22"/>
        </w:rPr>
        <w:t xml:space="preserve"> Model output quality is outside the scope of attestation. ASRO attests governance state, not output quality.</w:t>
      </w:r>
    </w:p>
    <w:p>
      <w:pPr>
        <w:spacing w:after="60"/>
      </w:pPr>
    </w:p>
    <w:p>
      <w:pPr>
        <w:spacing w:after="120"/>
      </w:pPr>
      <w:r>
        <w:rPr>
          <w:rFonts w:ascii="Arial" w:cs="Arial" w:eastAsia="Arial" w:hAnsi="Arial"/>
          <w:b/>
          <w:bCs/>
          <w:sz w:val="22"/>
          <w:szCs w:val="22"/>
        </w:rPr>
        <w:t xml:space="preserve">ASRO does not by itself prove legal compliance.</w:t>
      </w:r>
      <w:r>
        <w:rPr>
          <w:rFonts w:ascii="Arial" w:cs="Arial" w:eastAsia="Arial" w:hAnsi="Arial"/>
          <w:sz w:val="22"/>
          <w:szCs w:val="22"/>
        </w:rPr>
        <w:t xml:space="preserve"> ASRO provides the technical evidence base from which legal compliance determinations can be made by human auditors, regulatory bodies, and courts with appropriate jurisdiction. A finding of non-compliant attestation status means the operator cannot credibly claim continuous governance — it does not mean the operator has violated any specific law.</w:t>
      </w:r>
    </w:p>
    <w:p>
      <w:pPr>
        <w:spacing w:after="60"/>
      </w:pPr>
    </w:p>
    <w:p>
      <w:pPr>
        <w:spacing w:after="120"/>
      </w:pPr>
      <w:r>
        <w:rPr>
          <w:rFonts w:ascii="Arial" w:cs="Arial" w:eastAsia="Arial" w:hAnsi="Arial"/>
          <w:b/>
          <w:bCs/>
          <w:sz w:val="22"/>
          <w:szCs w:val="22"/>
        </w:rPr>
        <w:t xml:space="preserve">ASRO does not prevent all infrastructure compromise.</w:t>
      </w:r>
      <w:r>
        <w:rPr>
          <w:rFonts w:ascii="Arial" w:cs="Arial" w:eastAsia="Arial" w:hAnsi="Arial"/>
          <w:sz w:val="22"/>
          <w:szCs w:val="22"/>
        </w:rPr>
        <w:t xml:space="preserve"> Key compromise, network attacks, and physical infrastructure failure are outside the scope of attestation integrity, though the framework includes mitigations for the most common cryptographic attack surfaces.</w:t>
      </w:r>
    </w:p>
    <w:p>
      <w:pPr>
        <w:spacing w:after="60"/>
      </w:pPr>
    </w:p>
    <w:p>
      <w:pPr>
        <w:spacing w:after="120"/>
      </w:pPr>
      <w:r>
        <w:rPr>
          <w:rFonts w:ascii="Arial" w:cs="Arial" w:eastAsia="Arial" w:hAnsi="Arial"/>
          <w:b/>
          <w:bCs/>
          <w:sz w:val="22"/>
          <w:szCs w:val="22"/>
        </w:rPr>
        <w:t xml:space="preserve">ASRO does not replace legal counsel, auditors, or regulators.</w:t>
      </w:r>
      <w:r>
        <w:rPr>
          <w:rFonts w:ascii="Arial" w:cs="Arial" w:eastAsia="Arial" w:hAnsi="Arial"/>
          <w:sz w:val="22"/>
          <w:szCs w:val="22"/>
        </w:rPr>
        <w:t xml:space="preserve"> ASRO surfaces evidence. Legal compliance determinations, enforcement actions, and regulatory findings require human judgment applied to that evidence, combined with the specific requirements of applicable law.</w:t>
      </w:r>
    </w:p>
    <w:p>
      <w:pPr>
        <w:spacing w:after="60"/>
      </w:pPr>
    </w:p>
    <w:p>
      <w:pPr>
        <w:spacing w:after="120"/>
      </w:pPr>
      <w:r>
        <w:rPr>
          <w:rFonts w:ascii="Arial" w:cs="Arial" w:eastAsia="Arial" w:hAnsi="Arial"/>
          <w:b/>
          <w:bCs/>
          <w:sz w:val="22"/>
          <w:szCs w:val="22"/>
        </w:rPr>
        <w:t xml:space="preserve">ASRO is not an enforcement authority.</w:t>
      </w:r>
      <w:r>
        <w:rPr>
          <w:rFonts w:ascii="Arial" w:cs="Arial" w:eastAsia="Arial" w:hAnsi="Arial"/>
          <w:sz w:val="22"/>
          <w:szCs w:val="22"/>
        </w:rPr>
        <w:t xml:space="preserve"> Non-compliant status is a trust signal, not a legal sanction. Legal enforcement, if applicable, requires external regulatory action based on evidence that ASRO may surface but does not itself adjudicate.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9. The Governance Claim</w:t>
      </w:r>
    </w:p>
    <w:p>
      <w:pPr>
        <w:spacing w:after="60"/>
      </w:pPr>
    </w:p>
    <w:p>
      <w:pPr>
        <w:spacing w:after="60"/>
      </w:pPr>
      <w:r>
        <w:rPr>
          <w:rFonts w:ascii="Arial" w:cs="Arial" w:eastAsia="Arial" w:hAnsi="Arial"/>
          <w:b/>
          <w:bCs/>
          <w:sz w:val="22"/>
          <w:szCs w:val="22"/>
        </w:rPr>
        <w:t xml:space="preserve">In one paragraph:</w:t>
      </w:r>
    </w:p>
    <w:p>
      <w:pPr>
        <w:spacing w:after="60"/>
      </w:pPr>
    </w:p>
    <w:p>
      <w:pPr>
        <w:spacing w:after="120"/>
      </w:pPr>
      <w:r>
        <w:rPr>
          <w:rFonts w:ascii="Arial" w:cs="Arial" w:eastAsia="Arial" w:hAnsi="Arial"/>
          <w:sz w:val="22"/>
          <w:szCs w:val="22"/>
        </w:rPr>
        <w:t xml:space="preserve">The ASRO framework addresses a structural gap in AI governance that behavioral monitoring cannot reach. AI systems change after deployment. The configurations, policies, and tool permissions that govern their behavior can be silently altered by operators without user knowledge and without any external record of the change. Current governance frameworks do not address this gap — they address what AI systems are designed to do, not whether that design remains in force. ASRO provides cryptographically signed, tamper-evident attestation of deployment state, verified by independent Meter Agents at both the host and edge, without accessing conversation content, model internals, or private user data. It does not monitor AI behavior. It provides independently checkable evidence that the governance framework governing that behavior was actually in force, continuously, without silent alteration.</w:t>
      </w:r>
    </w:p>
    <w:p>
      <w:pPr>
        <w:spacing w:after="60"/>
      </w:pPr>
    </w:p>
    <w:p>
      <w:pPr>
        <w:spacing w:after="60"/>
      </w:pPr>
      <w:r>
        <w:rPr>
          <w:rFonts w:ascii="Arial" w:cs="Arial" w:eastAsia="Arial" w:hAnsi="Arial"/>
          <w:b/>
          <w:bCs/>
          <w:sz w:val="22"/>
          <w:szCs w:val="22"/>
        </w:rPr>
        <w:t xml:space="preserve">In one sentence:</w:t>
      </w:r>
    </w:p>
    <w:p>
      <w:pPr>
        <w:spacing w:after="60"/>
      </w:pPr>
    </w:p>
    <w:p>
      <w:pPr>
        <w:spacing w:after="1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Framework Integrity</w:t>
      </w:r>
    </w:p>
    <w:p>
      <w:pPr>
        <w:spacing w:after="60"/>
      </w:pPr>
    </w:p>
    <w:p>
      <w:pPr>
        <w:spacing w:after="120"/>
      </w:pPr>
      <w:r>
        <w:rPr>
          <w:rFonts w:ascii="Arial" w:cs="Arial" w:eastAsia="Arial" w:hAnsi="Arial"/>
          <w:sz w:val="22"/>
          <w:szCs w:val="22"/>
        </w:rPr>
        <w:t xml:space="preserve">The following statements are locked across all ASRO v1.0 RC documents and must not be altered in any release material.</w:t>
      </w:r>
    </w:p>
    <w:p>
      <w:pPr>
        <w:spacing w:after="60"/>
      </w:pPr>
    </w:p>
    <w:p>
      <w:pPr>
        <w:spacing w:after="120"/>
      </w:pPr>
      <w:r>
        <w:rPr>
          <w:rFonts w:ascii="Arial" w:cs="Arial" w:eastAsia="Arial" w:hAnsi="Arial"/>
          <w:b/>
          <w:bCs/>
          <w:sz w:val="22"/>
          <w:szCs w:val="22"/>
        </w:rPr>
        <w:t xml:space="preserve">Governance Claim</w:t>
      </w:r>
    </w:p>
    <w:p>
      <w:pPr>
        <w:pBdr>
          <w:left w:val="single" w:color="1F4E79" w:sz="12" w:space="8"/>
        </w:pBdr>
        <w:spacing w:after="120" w:before="120"/>
        <w:ind w:left="7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spacing w:after="120"/>
      </w:pPr>
      <w:r>
        <w:rPr>
          <w:rFonts w:ascii="Arial" w:cs="Arial" w:eastAsia="Arial" w:hAnsi="Arial"/>
          <w:b/>
          <w:bCs/>
          <w:sz w:val="22"/>
          <w:szCs w:val="22"/>
        </w:rPr>
        <w:t xml:space="preserve">Canonical Trust Sentence</w:t>
      </w:r>
    </w:p>
    <w:p>
      <w:pPr>
        <w:pBdr>
          <w:left w:val="single" w:color="1F4E79" w:sz="12" w:space="8"/>
        </w:pBdr>
        <w:spacing w:after="120" w:before="120"/>
        <w:ind w:left="720"/>
      </w:pPr>
      <w:r>
        <w:rPr>
          <w:rFonts w:ascii="Arial" w:cs="Arial" w:eastAsia="Arial" w:hAnsi="Arial"/>
          <w:sz w:val="22"/>
          <w:szCs w:val="22"/>
        </w:rPr>
        <w:t xml:space="preserve">Internal measurement is not independent oversight. Trust arises only when host measurement, edge witnessing, and ASRO reconciliation remain consistent over time.</w:t>
      </w:r>
    </w:p>
    <w:p>
      <w:pPr>
        <w:spacing w:after="60"/>
      </w:pPr>
    </w:p>
    <w:p>
      <w:pPr>
        <w:spacing w:after="120"/>
      </w:pPr>
      <w:r>
        <w:rPr>
          <w:rFonts w:ascii="Arial" w:cs="Arial" w:eastAsia="Arial" w:hAnsi="Arial"/>
          <w:b/>
          <w:bCs/>
          <w:sz w:val="22"/>
          <w:szCs w:val="22"/>
        </w:rPr>
        <w:t xml:space="preserve">Canonical Threat Sentence</w:t>
      </w:r>
    </w:p>
    <w:p>
      <w:pPr>
        <w:pBdr>
          <w:left w:val="single" w:color="1F4E79" w:sz="12" w:space="8"/>
        </w:pBdr>
        <w:spacing w:after="120" w:before="120"/>
        <w:ind w:left="7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w:t>
      </w:r>
    </w:p>
    <w:p>
      <w:pPr>
        <w:spacing w:after="60"/>
      </w:pPr>
    </w:p>
    <w:p>
      <w:pPr>
        <w:spacing w:after="120"/>
      </w:pPr>
      <w:r>
        <w:rPr>
          <w:rFonts w:ascii="Arial" w:cs="Arial" w:eastAsia="Arial" w:hAnsi="Arial"/>
          <w:b/>
          <w:bCs/>
          <w:sz w:val="22"/>
          <w:szCs w:val="22"/>
        </w:rPr>
        <w:t xml:space="preserve">Canonical Certification Sentence</w:t>
      </w:r>
    </w:p>
    <w:p>
      <w:pPr>
        <w:pBdr>
          <w:left w:val="single" w:color="1F4E79" w:sz="12" w:space="8"/>
        </w:pBdr>
        <w:spacing w:after="120" w:before="120"/>
        <w:ind w:left="720"/>
      </w:pPr>
      <w:r>
        <w:rPr>
          <w:rFonts w:ascii="Arial" w:cs="Arial" w:eastAsia="Arial" w:hAnsi="Arial"/>
          <w:sz w:val="22"/>
          <w:szCs w:val="22"/>
        </w:rPr>
        <w:t xml:space="preserve">ASRO v1.0 passes final credibility review as an attestation-and-governance evidence framework, not as a safety certification system, legal compliance guarantor, or enforcement authority.</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2026-04-07T08:36:06.553Z</dcterms:created>
  <dcterms:modified xsi:type="dcterms:W3CDTF">2026-04-07T08:36:06.553Z</dcterms:modified>
</cp:coreProperties>
</file>

<file path=docProps/custom.xml><?xml version="1.0" encoding="utf-8"?>
<Properties xmlns="http://schemas.openxmlformats.org/officeDocument/2006/custom-properties" xmlns:vt="http://schemas.openxmlformats.org/officeDocument/2006/docPropsVTypes"/>
</file>