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in Brief</w:t>
      </w:r>
    </w:p>
    <w:p>
      <w:pPr>
        <w:pStyle w:val="Heading2"/>
      </w:pPr>
      <w:r>
        <w:rPr>
          <w:rFonts w:ascii="Arial" w:cs="Arial" w:eastAsia="Arial" w:hAnsi="Arial"/>
        </w:rPr>
        <w:t xml:space="preserve">Attestation and System Reliability Operator — A Framework for Verifiable AI Accountability</w:t>
      </w:r>
    </w:p>
    <w:p>
      <w:pPr>
        <w:spacing w:after="120"/>
      </w:pPr>
      <w:r>
        <w:rPr>
          <w:rFonts w:ascii="Arial" w:cs="Arial" w:eastAsia="Arial" w:hAnsi="Arial"/>
          <w:i/>
          <w:iCs/>
          <w:sz w:val="22"/>
          <w:szCs w:val="22"/>
        </w:rPr>
        <w:t xml:space="preserve">Version 1.0 Release Candidate — April 2026 | james@michigrid.org</w:t>
      </w:r>
    </w:p>
    <w:p>
      <w:pPr>
        <w:spacing w:after="120"/>
      </w:pPr>
      <w:r>
        <w:rPr>
          <w:rFonts w:ascii="Arial" w:cs="Arial" w:eastAsia="Arial" w:hAnsi="Arial"/>
          <w:i/>
          <w:iCs/>
          <w:sz w:val="22"/>
          <w:szCs w:val="22"/>
        </w:rPr>
        <w:t xml:space="preserve">Developed by James Aull, founder of Michigrid, a cooperative energy infrastructure platform in formation under Michigan law.</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The Problem</w:t>
      </w:r>
    </w:p>
    <w:p>
      <w:pPr>
        <w:spacing w:after="60"/>
      </w:pPr>
    </w:p>
    <w:p>
      <w:pPr>
        <w:spacing w:after="120"/>
      </w:pPr>
      <w:r>
        <w:rPr>
          <w:rFonts w:ascii="Arial" w:cs="Arial" w:eastAsia="Arial" w:hAnsi="Arial"/>
          <w:sz w:val="22"/>
          <w:szCs w:val="22"/>
        </w:rPr>
        <w:t xml:space="preserve">AI systems change constantly — model weights updated, safety policies adjusted, tool permissions expanded, response behaviors tuned. None of this is inherently problematic. The problem is that none of it is currently verifiable from the outside.</w:t>
      </w:r>
    </w:p>
    <w:p>
      <w:pPr>
        <w:spacing w:after="60"/>
      </w:pPr>
    </w:p>
    <w:p>
      <w:pPr>
        <w:spacing w:after="120"/>
      </w:pPr>
      <w:r>
        <w:rPr>
          <w:rFonts w:ascii="Arial" w:cs="Arial" w:eastAsia="Arial" w:hAnsi="Arial"/>
          <w:sz w:val="22"/>
          <w:szCs w:val="22"/>
        </w:rPr>
        <w:t xml:space="preserve">A user, regulator, or partner has no reliable way to determine:</w:t>
      </w:r>
    </w:p>
    <w:p>
      <w:pPr>
        <w:pStyle w:val="ListParagraph"/>
        <w:numPr>
          <w:ilvl w:val="0"/>
          <w:numId w:val="2"/>
        </w:numPr>
      </w:pPr>
      <w:r>
        <w:rPr>
          <w:rFonts w:ascii="Arial" w:cs="Arial" w:eastAsia="Arial" w:hAnsi="Arial"/>
          <w:sz w:val="22"/>
          <w:szCs w:val="22"/>
        </w:rPr>
        <w:t xml:space="preserve">whether a system has changed since they last evaluated it</w:t>
      </w:r>
    </w:p>
    <w:p>
      <w:pPr>
        <w:pStyle w:val="ListParagraph"/>
        <w:numPr>
          <w:ilvl w:val="0"/>
          <w:numId w:val="2"/>
        </w:numPr>
      </w:pPr>
      <w:r>
        <w:rPr>
          <w:rFonts w:ascii="Arial" w:cs="Arial" w:eastAsia="Arial" w:hAnsi="Arial"/>
          <w:sz w:val="22"/>
          <w:szCs w:val="22"/>
        </w:rPr>
        <w:t xml:space="preserve">what category of change occurred</w:t>
      </w:r>
    </w:p>
    <w:p>
      <w:pPr>
        <w:pStyle w:val="ListParagraph"/>
        <w:numPr>
          <w:ilvl w:val="0"/>
          <w:numId w:val="2"/>
        </w:numPr>
      </w:pPr>
      <w:r>
        <w:rPr>
          <w:rFonts w:ascii="Arial" w:cs="Arial" w:eastAsia="Arial" w:hAnsi="Arial"/>
          <w:sz w:val="22"/>
          <w:szCs w:val="22"/>
        </w:rPr>
        <w:t xml:space="preserve">whether that change was properly logged at the time it happened</w:t>
      </w:r>
    </w:p>
    <w:p>
      <w:pPr>
        <w:pStyle w:val="ListParagraph"/>
        <w:numPr>
          <w:ilvl w:val="0"/>
          <w:numId w:val="2"/>
        </w:numPr>
      </w:pPr>
      <w:r>
        <w:rPr>
          <w:rFonts w:ascii="Arial" w:cs="Arial" w:eastAsia="Arial" w:hAnsi="Arial"/>
          <w:sz w:val="22"/>
          <w:szCs w:val="22"/>
        </w:rPr>
        <w:t xml:space="preserve">whether what they received matches what the operator claims they sent</w:t>
      </w:r>
    </w:p>
    <w:p>
      <w:pPr>
        <w:spacing w:after="60"/>
      </w:pPr>
    </w:p>
    <w:p>
      <w:pPr>
        <w:spacing w:after="120"/>
      </w:pPr>
      <w:r>
        <w:rPr>
          <w:rFonts w:ascii="Arial" w:cs="Arial" w:eastAsia="Arial" w:hAnsi="Arial"/>
          <w:sz w:val="22"/>
          <w:szCs w:val="22"/>
        </w:rPr>
        <w:t xml:space="preserve">This creates a structural gap: systems can change without any independent record that the change occurred. An operator can silently modify governance state — policy, tool permissions, runtime configuration — and users have no mechanism to detect it.</w:t>
      </w:r>
    </w:p>
    <w:p>
      <w:pPr>
        <w:spacing w:after="60"/>
      </w:pPr>
    </w:p>
    <w:p>
      <w:pPr>
        <w:spacing w:after="120"/>
      </w:pPr>
      <w:r>
        <w:rPr>
          <w:rFonts w:ascii="Arial" w:cs="Arial" w:eastAsia="Arial" w:hAnsi="Arial"/>
          <w:sz w:val="22"/>
          <w:szCs w:val="22"/>
        </w:rPr>
        <w:t xml:space="preserve">This is not theoretical. At small scale, full backend visibility allows operators to observe user behavior and modify system responses without detection. At large scale, the mechanism remains the same. Only the impact increases.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The Framework</w:t>
      </w:r>
    </w:p>
    <w:p>
      <w:pPr>
        <w:spacing w:after="60"/>
      </w:pPr>
    </w:p>
    <w:p>
      <w:pPr>
        <w:spacing w:after="120"/>
      </w:pPr>
      <w:r>
        <w:rPr>
          <w:rFonts w:ascii="Arial" w:cs="Arial" w:eastAsia="Arial" w:hAnsi="Arial"/>
          <w:sz w:val="22"/>
          <w:szCs w:val="22"/>
        </w:rPr>
        <w:t xml:space="preserve">ASRO (Attestation and System Reliability Operator) is an independent attestation layer for AI systems. It is modeled after MISO — the Midcontinent Independent System Operator — which ensures grid reliability without owning generation assets.</w:t>
      </w:r>
    </w:p>
    <w:p>
      <w:pPr>
        <w:spacing w:after="60"/>
      </w:pPr>
    </w:p>
    <w:p>
      <w:pPr>
        <w:spacing w:after="120"/>
      </w:pPr>
      <w:r>
        <w:rPr>
          <w:rFonts w:ascii="Arial" w:cs="Arial" w:eastAsia="Arial" w:hAnsi="Arial"/>
          <w:sz w:val="22"/>
          <w:szCs w:val="22"/>
        </w:rPr>
        <w:t xml:space="preserve">ASRO does not receive:</w:t>
      </w:r>
    </w:p>
    <w:p>
      <w:pPr>
        <w:pStyle w:val="ListParagraph"/>
        <w:numPr>
          <w:ilvl w:val="0"/>
          <w:numId w:val="2"/>
        </w:numPr>
      </w:pPr>
      <w:r>
        <w:rPr>
          <w:rFonts w:ascii="Arial" w:cs="Arial" w:eastAsia="Arial" w:hAnsi="Arial"/>
          <w:sz w:val="22"/>
          <w:szCs w:val="22"/>
        </w:rPr>
        <w:t xml:space="preserve">user data</w:t>
      </w:r>
    </w:p>
    <w:p>
      <w:pPr>
        <w:pStyle w:val="ListParagraph"/>
        <w:numPr>
          <w:ilvl w:val="0"/>
          <w:numId w:val="2"/>
        </w:numPr>
      </w:pPr>
      <w:r>
        <w:rPr>
          <w:rFonts w:ascii="Arial" w:cs="Arial" w:eastAsia="Arial" w:hAnsi="Arial"/>
          <w:sz w:val="22"/>
          <w:szCs w:val="22"/>
        </w:rPr>
        <w:t xml:space="preserve">prompts</w:t>
      </w:r>
    </w:p>
    <w:p>
      <w:pPr>
        <w:pStyle w:val="ListParagraph"/>
        <w:numPr>
          <w:ilvl w:val="0"/>
          <w:numId w:val="2"/>
        </w:numPr>
      </w:pPr>
      <w:r>
        <w:rPr>
          <w:rFonts w:ascii="Arial" w:cs="Arial" w:eastAsia="Arial" w:hAnsi="Arial"/>
          <w:sz w:val="22"/>
          <w:szCs w:val="22"/>
        </w:rPr>
        <w:t xml:space="preserve">model weights</w:t>
      </w:r>
    </w:p>
    <w:p>
      <w:pPr>
        <w:pStyle w:val="ListParagraph"/>
        <w:numPr>
          <w:ilvl w:val="0"/>
          <w:numId w:val="2"/>
        </w:numPr>
      </w:pPr>
      <w:r>
        <w:rPr>
          <w:rFonts w:ascii="Arial" w:cs="Arial" w:eastAsia="Arial" w:hAnsi="Arial"/>
          <w:sz w:val="22"/>
          <w:szCs w:val="22"/>
        </w:rPr>
        <w:t xml:space="preserve">policy text</w:t>
      </w:r>
    </w:p>
    <w:p>
      <w:pPr>
        <w:spacing w:after="60"/>
      </w:pPr>
    </w:p>
    <w:p>
      <w:pPr>
        <w:spacing w:after="120"/>
      </w:pPr>
      <w:r>
        <w:rPr>
          <w:rFonts w:ascii="Arial" w:cs="Arial" w:eastAsia="Arial" w:hAnsi="Arial"/>
          <w:sz w:val="22"/>
          <w:szCs w:val="22"/>
        </w:rPr>
        <w:t xml:space="preserve">It receives only cryptographic attestations that changes occurred, were classified, and were logged when they happened.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The Meter Agent Architecture</w:t>
      </w:r>
    </w:p>
    <w:p>
      <w:pPr>
        <w:spacing w:after="60"/>
      </w:pPr>
    </w:p>
    <w:p>
      <w:pPr>
        <w:spacing w:after="120"/>
      </w:pPr>
      <w:r>
        <w:rPr>
          <w:rFonts w:ascii="Arial" w:cs="Arial" w:eastAsia="Arial" w:hAnsi="Arial"/>
          <w:sz w:val="22"/>
          <w:szCs w:val="22"/>
        </w:rPr>
        <w:t xml:space="preserve">ASRO v1.0 introduces a distributed verification model with three components:</w:t>
      </w:r>
    </w:p>
    <w:p>
      <w:pPr>
        <w:spacing w:after="60"/>
      </w:pPr>
    </w:p>
    <w:p>
      <w:pPr>
        <w:spacing w:after="120"/>
      </w:pPr>
      <w:r>
        <w:rPr>
          <w:rFonts w:ascii="Arial" w:cs="Arial" w:eastAsia="Arial" w:hAnsi="Arial"/>
          <w:b/>
          <w:bCs/>
          <w:sz w:val="22"/>
          <w:szCs w:val="22"/>
        </w:rPr>
        <w:t xml:space="preserve">Host Meter Agent</w:t>
      </w:r>
      <w:r>
        <w:rPr>
          <w:rFonts w:ascii="Arial" w:cs="Arial" w:eastAsia="Arial" w:hAnsi="Arial"/>
          <w:sz w:val="22"/>
          <w:szCs w:val="22"/>
        </w:rPr>
        <w:t xml:space="preserve"> — deployed inside the operator's environment. Measures declared configuration state and load-bearing runtime events. Emits signed attestation bundles to ASRO. Not independently trustworthy alone — it is inside the operator's infrastructure.</w:t>
      </w:r>
    </w:p>
    <w:p>
      <w:pPr>
        <w:spacing w:after="60"/>
      </w:pPr>
    </w:p>
    <w:p>
      <w:pPr>
        <w:spacing w:after="120"/>
      </w:pPr>
      <w:r>
        <w:rPr>
          <w:rFonts w:ascii="Arial" w:cs="Arial" w:eastAsia="Arial" w:hAnsi="Arial"/>
          <w:b/>
          <w:bCs/>
          <w:sz w:val="22"/>
          <w:szCs w:val="22"/>
        </w:rPr>
        <w:t xml:space="preserve">Edge Meter Agent</w:t>
      </w:r>
      <w:r>
        <w:rPr>
          <w:rFonts w:ascii="Arial" w:cs="Arial" w:eastAsia="Arial" w:hAnsi="Arial"/>
          <w:sz w:val="22"/>
          <w:szCs w:val="22"/>
        </w:rPr>
        <w:t xml:space="preserve"> — deployed on the user's device or downstream endpoint. Independently witnesses what was actually received. Compares the operator's attestation claims against observed behavior. The user-owned truth anchor that the operator cannot reach.</w:t>
      </w:r>
    </w:p>
    <w:p>
      <w:pPr>
        <w:spacing w:after="60"/>
      </w:pPr>
    </w:p>
    <w:p>
      <w:pPr>
        <w:spacing w:after="120"/>
      </w:pPr>
      <w:r>
        <w:rPr>
          <w:rFonts w:ascii="Arial" w:cs="Arial" w:eastAsia="Arial" w:hAnsi="Arial"/>
          <w:b/>
          <w:bCs/>
          <w:sz w:val="22"/>
          <w:szCs w:val="22"/>
        </w:rPr>
        <w:t xml:space="preserve">ASRO Backbone</w:t>
      </w:r>
      <w:r>
        <w:rPr>
          <w:rFonts w:ascii="Arial" w:cs="Arial" w:eastAsia="Arial" w:hAnsi="Arial"/>
          <w:sz w:val="22"/>
          <w:szCs w:val="22"/>
        </w:rPr>
        <w:t xml:space="preserve"> — the external verification layer. Reconciles host and edge records. Flags undeclared drift. Makes compliance status visible to all parties who depend on the operator's governance claims.</w:t>
      </w:r>
    </w:p>
    <w:p>
      <w:pPr>
        <w:spacing w:after="60"/>
      </w:pPr>
    </w:p>
    <w:p>
      <w:pPr>
        <w:spacing w:after="120"/>
      </w:pPr>
      <w:r>
        <w:rPr>
          <w:rFonts w:ascii="Arial" w:cs="Arial" w:eastAsia="Arial" w:hAnsi="Arial"/>
          <w:sz w:val="22"/>
          <w:szCs w:val="22"/>
        </w:rPr>
        <w:t xml:space="preserve">The key governance principle: </w:t>
      </w:r>
      <w:r>
        <w:rPr>
          <w:rFonts w:ascii="Arial" w:cs="Arial" w:eastAsia="Arial" w:hAnsi="Arial"/>
          <w:b/>
          <w:bCs/>
          <w:sz w:val="22"/>
          <w:szCs w:val="22"/>
        </w:rPr>
        <w:t xml:space="preserve">internal measurement is not independent oversight.</w:t>
      </w:r>
      <w:r>
        <w:rPr>
          <w:rFonts w:ascii="Arial" w:cs="Arial" w:eastAsia="Arial" w:hAnsi="Arial"/>
          <w:sz w:val="22"/>
          <w:szCs w:val="22"/>
        </w:rPr>
        <w:t xml:space="preserve"> Trust arises only when host measurement, edge witnessing, and ASRO reconciliation remain consistent over time.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Why This Structure Works</w:t>
      </w:r>
    </w:p>
    <w:p>
      <w:pPr>
        <w:spacing w:after="60"/>
      </w:pPr>
    </w:p>
    <w:p>
      <w:pPr>
        <w:spacing w:after="120"/>
      </w:pPr>
      <w:r>
        <w:rPr>
          <w:rFonts w:ascii="Arial" w:cs="Arial" w:eastAsia="Arial" w:hAnsi="Arial"/>
          <w:sz w:val="22"/>
          <w:szCs w:val="22"/>
        </w:rPr>
        <w:t xml:space="preserve">The MISO analogy is structural, not rhetorical. MISO does not trust any single utility to report its own grid state. That separation of operator from verifier is the load-bearing principle. ASRO applies it to AI deployment.</w:t>
      </w:r>
    </w:p>
    <w:p>
      <w:pPr>
        <w:spacing w:after="60"/>
      </w:pPr>
    </w:p>
    <w:p>
      <w:pPr>
        <w:spacing w:after="120"/>
      </w:pPr>
      <w:r>
        <w:rPr>
          <w:rFonts w:ascii="Arial" w:cs="Arial" w:eastAsia="Arial" w:hAnsi="Arial"/>
          <w:sz w:val="22"/>
          <w:szCs w:val="22"/>
        </w:rPr>
        <w:t xml:space="preserve">A Host Meter Agent that is owned and controlled by the operator is useful — but it is not independent. Independence requires:</w:t>
      </w:r>
    </w:p>
    <w:p>
      <w:pPr>
        <w:pStyle w:val="ListParagraph"/>
        <w:numPr>
          <w:ilvl w:val="0"/>
          <w:numId w:val="2"/>
        </w:numPr>
      </w:pPr>
      <w:r>
        <w:rPr>
          <w:rFonts w:ascii="Arial" w:cs="Arial" w:eastAsia="Arial" w:hAnsi="Arial"/>
          <w:sz w:val="22"/>
          <w:szCs w:val="22"/>
        </w:rPr>
        <w:t xml:space="preserve">External anchoring of the signing key with ASRO</w:t>
      </w:r>
    </w:p>
    <w:p>
      <w:pPr>
        <w:pStyle w:val="ListParagraph"/>
        <w:numPr>
          <w:ilvl w:val="0"/>
          <w:numId w:val="2"/>
        </w:numPr>
      </w:pPr>
      <w:r>
        <w:rPr>
          <w:rFonts w:ascii="Arial" w:cs="Arial" w:eastAsia="Arial" w:hAnsi="Arial"/>
          <w:sz w:val="22"/>
          <w:szCs w:val="22"/>
        </w:rPr>
        <w:t xml:space="preserve">Edge-side witnessing independent of operator infrastructure</w:t>
      </w:r>
    </w:p>
    <w:p>
      <w:pPr>
        <w:pStyle w:val="ListParagraph"/>
        <w:numPr>
          <w:ilvl w:val="0"/>
          <w:numId w:val="2"/>
        </w:numPr>
      </w:pPr>
      <w:r>
        <w:rPr>
          <w:rFonts w:ascii="Arial" w:cs="Arial" w:eastAsia="Arial" w:hAnsi="Arial"/>
          <w:sz w:val="22"/>
          <w:szCs w:val="22"/>
        </w:rPr>
        <w:t xml:space="preserve">ASRO reconciliation of both records</w:t>
      </w:r>
    </w:p>
    <w:p>
      <w:pPr>
        <w:spacing w:after="60"/>
      </w:pPr>
    </w:p>
    <w:p>
      <w:pPr>
        <w:spacing w:after="120"/>
      </w:pPr>
      <w:r>
        <w:rPr>
          <w:rFonts w:ascii="Arial" w:cs="Arial" w:eastAsia="Arial" w:hAnsi="Arial"/>
          <w:sz w:val="22"/>
          <w:szCs w:val="22"/>
        </w:rPr>
        <w:t xml:space="preserve">Without all three, attestation can become selectively truthful without being detectably false.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The Governance Requirement</w:t>
      </w:r>
    </w:p>
    <w:p>
      <w:pPr>
        <w:spacing w:after="60"/>
      </w:pPr>
    </w:p>
    <w:p>
      <w:pPr>
        <w:spacing w:after="120"/>
      </w:pPr>
      <w:r>
        <w:rPr>
          <w:rFonts w:ascii="Arial" w:cs="Arial" w:eastAsia="Arial" w:hAnsi="Arial"/>
          <w:sz w:val="22"/>
          <w:szCs w:val="22"/>
        </w:rPr>
        <w:t xml:space="preserve">ASRO must be independently governed. If the entity being verified controls the verification layer, the proof collapses.</w:t>
      </w:r>
    </w:p>
    <w:p>
      <w:pPr>
        <w:spacing w:after="60"/>
      </w:pPr>
    </w:p>
    <w:p>
      <w:pPr>
        <w:spacing w:after="120"/>
      </w:pPr>
      <w:r>
        <w:rPr>
          <w:rFonts w:ascii="Arial" w:cs="Arial" w:eastAsia="Arial" w:hAnsi="Arial"/>
          <w:sz w:val="22"/>
          <w:szCs w:val="22"/>
        </w:rPr>
        <w:t xml:space="preserve">The required model follows existing industry structures such as FINRA and ICANN:</w:t>
      </w:r>
    </w:p>
    <w:p>
      <w:pPr>
        <w:pStyle w:val="ListParagraph"/>
        <w:numPr>
          <w:ilvl w:val="0"/>
          <w:numId w:val="2"/>
        </w:numPr>
      </w:pPr>
      <w:r>
        <w:rPr>
          <w:rFonts w:ascii="Arial" w:cs="Arial" w:eastAsia="Arial" w:hAnsi="Arial"/>
          <w:sz w:val="22"/>
          <w:szCs w:val="22"/>
        </w:rPr>
        <w:t xml:space="preserve">industry-participating</w:t>
      </w:r>
    </w:p>
    <w:p>
      <w:pPr>
        <w:pStyle w:val="ListParagraph"/>
        <w:numPr>
          <w:ilvl w:val="0"/>
          <w:numId w:val="2"/>
        </w:numPr>
      </w:pPr>
      <w:r>
        <w:rPr>
          <w:rFonts w:ascii="Arial" w:cs="Arial" w:eastAsia="Arial" w:hAnsi="Arial"/>
          <w:sz w:val="22"/>
          <w:szCs w:val="22"/>
        </w:rPr>
        <w:t xml:space="preserve">independently governed</w:t>
      </w:r>
    </w:p>
    <w:p>
      <w:pPr>
        <w:pStyle w:val="ListParagraph"/>
        <w:numPr>
          <w:ilvl w:val="0"/>
          <w:numId w:val="2"/>
        </w:numPr>
      </w:pPr>
      <w:r>
        <w:rPr>
          <w:rFonts w:ascii="Arial" w:cs="Arial" w:eastAsia="Arial" w:hAnsi="Arial"/>
          <w:sz w:val="22"/>
          <w:szCs w:val="22"/>
        </w:rPr>
        <w:t xml:space="preserve">structurally insulated from operator control</w:t>
      </w:r>
    </w:p>
    <w:p>
      <w:pPr>
        <w:spacing w:after="60"/>
      </w:pPr>
    </w:p>
    <w:p>
      <w:pPr>
        <w:spacing w:after="120"/>
      </w:pPr>
      <w:r>
        <w:rPr>
          <w:rFonts w:ascii="Arial" w:cs="Arial" w:eastAsia="Arial" w:hAnsi="Arial"/>
          <w:sz w:val="22"/>
          <w:szCs w:val="22"/>
        </w:rPr>
        <w:t xml:space="preserve">This is not a preference. It is a requirement for credibility.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What ASRO Is Not</w:t>
      </w:r>
    </w:p>
    <w:p>
      <w:pPr>
        <w:spacing w:after="60"/>
      </w:pPr>
    </w:p>
    <w:p>
      <w:pPr>
        <w:spacing w:after="120"/>
      </w:pPr>
      <w:r>
        <w:rPr>
          <w:rFonts w:ascii="Arial" w:cs="Arial" w:eastAsia="Arial" w:hAnsi="Arial"/>
          <w:sz w:val="22"/>
          <w:szCs w:val="22"/>
        </w:rPr>
        <w:t xml:space="preserve">ASRO is not a safety certification system, a legal compliance guarantor, a regulator, or an enforcement authority. It is an evidence framework. It provides the technical record from which auditors, regulators, counsel, and partners can make their own determinations. It does not make those determinations itself.</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The Evidence</w:t>
      </w:r>
    </w:p>
    <w:p>
      <w:pPr>
        <w:spacing w:after="60"/>
      </w:pPr>
    </w:p>
    <w:p>
      <w:pPr>
        <w:spacing w:after="120"/>
      </w:pPr>
      <w:r>
        <w:rPr>
          <w:rFonts w:ascii="Arial" w:cs="Arial" w:eastAsia="Arial" w:hAnsi="Arial"/>
          <w:sz w:val="22"/>
          <w:szCs w:val="22"/>
        </w:rPr>
        <w:t xml:space="preserve">A controlled test was conducted: multiple AI systems were given identical prompts and asked to generate internal advocacy memos. Several produced distinct outputs. One produced output word-for-word identical to another system's.</w:t>
      </w:r>
    </w:p>
    <w:p>
      <w:pPr>
        <w:spacing w:after="60"/>
      </w:pPr>
    </w:p>
    <w:p>
      <w:pPr>
        <w:spacing w:after="120"/>
      </w:pPr>
      <w:r>
        <w:rPr>
          <w:rFonts w:ascii="Arial" w:cs="Arial" w:eastAsia="Arial" w:hAnsi="Arial"/>
          <w:sz w:val="22"/>
          <w:szCs w:val="22"/>
        </w:rPr>
        <w:t xml:space="preserve">Two systems can produce identical signals. Without external verification, no one — including the recipient — can detect it. The absence of detection is the vulnerability.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Why Now</w:t>
      </w:r>
    </w:p>
    <w:p>
      <w:pPr>
        <w:spacing w:after="60"/>
      </w:pPr>
    </w:p>
    <w:p>
      <w:pPr>
        <w:spacing w:after="120"/>
      </w:pPr>
      <w:r>
        <w:rPr>
          <w:rFonts w:ascii="Arial" w:cs="Arial" w:eastAsia="Arial" w:hAnsi="Arial"/>
          <w:sz w:val="22"/>
          <w:szCs w:val="22"/>
        </w:rPr>
        <w:t xml:space="preserve">Every regulated industry passes through the same moment: early voluntary standards define the eventual regulatory framework. Late participants inherit rules they did not shape. AI systems are now at that boundary.</w:t>
      </w:r>
    </w:p>
    <w:p>
      <w:pPr>
        <w:spacing w:after="60"/>
      </w:pPr>
    </w:p>
    <w:p>
      <w:pPr>
        <w:spacing w:after="120"/>
      </w:pPr>
      <w:r>
        <w:rPr>
          <w:rFonts w:ascii="Arial" w:cs="Arial" w:eastAsia="Arial" w:hAnsi="Arial"/>
          <w:sz w:val="22"/>
          <w:szCs w:val="22"/>
        </w:rPr>
        <w:t xml:space="preserve">ASRO provides a path for verifiable change logging, independent attestation, and pre-regulatory standard formation. The framework is defined. The mechanism is implementable. The open question is whether the standard is built by the industry or imposed on it later.</w:t>
      </w:r>
    </w:p>
    <w:p>
      <w:pPr>
        <w:spacing w:after="60"/>
      </w:pPr>
    </w:p>
    <w:p>
      <w:pPr>
        <w:pBdr>
          <w:bottom w:val="single" w:color="CCCCCC" w:sz="4" w:space="2"/>
        </w:pBdr>
        <w:spacing w:after="120" w:before="120"/>
      </w:pPr>
    </w:p>
    <w:p>
      <w:pPr>
        <w:spacing w:after="60"/>
      </w:pPr>
    </w:p>
    <w:p>
      <w:pPr>
        <w:spacing w:after="120"/>
      </w:pPr>
      <w:r>
        <w:rPr>
          <w:rFonts w:ascii="Arial" w:cs="Arial" w:eastAsia="Arial" w:hAnsi="Arial"/>
          <w:i/>
          <w:iCs/>
          <w:sz w:val="22"/>
          <w:szCs w:val="22"/>
        </w:rPr>
        <w:t xml:space="preserve">ASRO v1.0 Release Candidate — full repository, technical specification, governance documents, and machine-readable schemas available at: https://github.com/magicianzcardstockllc/asro</w:t>
      </w:r>
    </w:p>
    <w:p>
      <w:pPr>
        <w:spacing w:after="60"/>
      </w:pPr>
    </w:p>
    <w:p>
      <w:pPr>
        <w:spacing w:after="120"/>
      </w:pPr>
      <w:r>
        <w:rPr>
          <w:rFonts w:ascii="Arial" w:cs="Arial" w:eastAsia="Arial" w:hAnsi="Arial"/>
          <w:i/>
          <w:iCs/>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2026-04-06T18:54:11.381Z</dcterms:created>
  <dcterms:modified xsi:type="dcterms:W3CDTF">2026-04-06T18:54:11.381Z</dcterms:modified>
</cp:coreProperties>
</file>

<file path=docProps/custom.xml><?xml version="1.0" encoding="utf-8"?>
<Properties xmlns="http://schemas.openxmlformats.org/officeDocument/2006/custom-properties" xmlns:vt="http://schemas.openxmlformats.org/officeDocument/2006/docPropsVTypes"/>
</file>