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To: cset@georgetown.edu</w:t>
      </w:r>
    </w:p>
    <w:p>
      <w:pPr>
        <w:spacing w:after="120"/>
      </w:pPr>
      <w:r>
        <w:rPr>
          <w:rFonts w:ascii="Arial" w:cs="Arial" w:eastAsia="Arial" w:hAnsi="Arial"/>
          <w:sz w:val="22"/>
          <w:szCs w:val="22"/>
        </w:rPr>
        <w:t xml:space="preserve">Subject: ASRO — A Practitioner-Originated Governance Infrastructure Proposal for AI System Integrity</w:t>
      </w:r>
    </w:p>
    <w:p>
      <w:pPr>
        <w:spacing w:after="60"/>
      </w:pPr>
    </w:p>
    <w:p>
      <w:pPr>
        <w:spacing w:after="120"/>
      </w:pPr>
      <w:r>
        <w:rPr>
          <w:rFonts w:ascii="Arial" w:cs="Arial" w:eastAsia="Arial" w:hAnsi="Arial"/>
          <w:sz w:val="22"/>
          <w:szCs w:val="22"/>
        </w:rPr>
        <w:t xml:space="preserve">Dear CSET team,</w:t>
      </w:r>
    </w:p>
    <w:p>
      <w:pPr>
        <w:spacing w:after="60"/>
      </w:pPr>
    </w:p>
    <w:p>
      <w:pPr>
        <w:spacing w:after="120"/>
      </w:pPr>
      <w:r>
        <w:rPr>
          <w:rFonts w:ascii="Arial" w:cs="Arial" w:eastAsia="Arial" w:hAnsi="Arial"/>
          <w:sz w:val="22"/>
          <w:szCs w:val="22"/>
        </w:rPr>
        <w:t xml:space="preserve">I am writing to share a governance infrastructure framework I developed through direct operational observation and believe is relevant to CSET's work on AI accountability and technical policy.</w:t>
      </w:r>
    </w:p>
    <w:p>
      <w:pPr>
        <w:spacing w:after="60"/>
      </w:pPr>
    </w:p>
    <w:p>
      <w:pPr>
        <w:spacing w:after="120"/>
      </w:pPr>
      <w:r>
        <w:rPr>
          <w:rFonts w:ascii="Arial" w:cs="Arial" w:eastAsia="Arial" w:hAnsi="Arial"/>
          <w:sz w:val="22"/>
          <w:szCs w:val="22"/>
        </w:rPr>
        <w:t xml:space="preserve">The ASRO framework — Attestation and System Reliability Operator — proposes a neutral, independently governed attestation layer for AI systems: cryptographically signed, tamper-evident records of when AI systems change, in what category, and whether those changes were independently verified. It is modeled structurally on MISO, the grid reliability operator that coordinates infrastructure integrity across a network it does not own or control. ASRO receives no user data, prompts, model weights, or policy text. It receives only proofs that changes happened, were signed, and were logged at the time they occurred.</w:t>
      </w:r>
    </w:p>
    <w:p>
      <w:pPr>
        <w:spacing w:after="60"/>
      </w:pPr>
    </w:p>
    <w:p>
      <w:pPr>
        <w:spacing w:after="120"/>
      </w:pPr>
      <w:r>
        <w:rPr>
          <w:rFonts w:ascii="Arial" w:cs="Arial" w:eastAsia="Arial" w:hAnsi="Arial"/>
          <w:sz w:val="22"/>
          <w:szCs w:val="22"/>
        </w:rPr>
        <w:t xml:space="preserve">The framework addresses a gap that is simultaneously technical and policy-relevant: AI systems change constantly, and those changes are not independently verifiable from the outside. A user, regulator, or government procurement officer has no mechanism to know whether the system they are evaluating today is the same system they evaluated last month, what category of change occurred, or whether any external party confirmed the change was logged when it happened. This creates exposure for regulated industries, for government AI use cases, and for any accountability framework that depends on AI system behavior remaining consistent between assessment and deployment.</w:t>
      </w:r>
    </w:p>
    <w:p>
      <w:pPr>
        <w:spacing w:after="60"/>
      </w:pPr>
    </w:p>
    <w:p>
      <w:pPr>
        <w:spacing w:after="120"/>
      </w:pPr>
      <w:r>
        <w:rPr>
          <w:rFonts w:ascii="Arial" w:cs="Arial" w:eastAsia="Arial" w:hAnsi="Arial"/>
          <w:b/>
          <w:bCs/>
          <w:sz w:val="22"/>
          <w:szCs w:val="22"/>
        </w:rPr>
        <w:t xml:space="preserve">The Meter Agent Architecture</w:t>
      </w:r>
    </w:p>
    <w:p>
      <w:pPr>
        <w:spacing w:after="60"/>
      </w:pPr>
    </w:p>
    <w:p>
      <w:pPr>
        <w:spacing w:after="120"/>
      </w:pPr>
      <w:r>
        <w:rPr>
          <w:rFonts w:ascii="Arial" w:cs="Arial" w:eastAsia="Arial" w:hAnsi="Arial"/>
          <w:sz w:val="22"/>
          <w:szCs w:val="22"/>
        </w:rPr>
        <w:t xml:space="preserve">The v1.0 release introduces the Meter Agent model — a distributed attestation structure with three components:</w:t>
      </w:r>
    </w:p>
    <w:p>
      <w:pPr>
        <w:spacing w:after="60"/>
      </w:pPr>
    </w:p>
    <w:p>
      <w:pPr>
        <w:pStyle w:val="ListParagraph"/>
        <w:numPr>
          <w:ilvl w:val="0"/>
          <w:numId w:val="2"/>
        </w:numPr>
      </w:pPr>
      <w:r>
        <w:rPr>
          <w:rFonts w:ascii="Arial" w:cs="Arial" w:eastAsia="Arial" w:hAnsi="Arial"/>
          <w:b/>
          <w:bCs/>
          <w:sz w:val="22"/>
          <w:szCs w:val="22"/>
        </w:rPr>
        <w:t xml:space="preserve">Host Meter Agent</w:t>
      </w:r>
      <w:r>
        <w:rPr>
          <w:rFonts w:ascii="Arial" w:cs="Arial" w:eastAsia="Arial" w:hAnsi="Arial"/>
          <w:sz w:val="22"/>
          <w:szCs w:val="22"/>
        </w:rPr>
        <w:t xml:space="preserve"> — deployed by the operator, measures declared internal configuration state and load-bearing runtime events</w:t>
      </w:r>
    </w:p>
    <w:p>
      <w:pPr>
        <w:pStyle w:val="ListParagraph"/>
        <w:numPr>
          <w:ilvl w:val="0"/>
          <w:numId w:val="2"/>
        </w:numPr>
      </w:pPr>
      <w:r>
        <w:rPr>
          <w:rFonts w:ascii="Arial" w:cs="Arial" w:eastAsia="Arial" w:hAnsi="Arial"/>
          <w:b/>
          <w:bCs/>
          <w:sz w:val="22"/>
          <w:szCs w:val="22"/>
        </w:rPr>
        <w:t xml:space="preserve">Edge Meter Agent</w:t>
      </w:r>
      <w:r>
        <w:rPr>
          <w:rFonts w:ascii="Arial" w:cs="Arial" w:eastAsia="Arial" w:hAnsi="Arial"/>
          <w:sz w:val="22"/>
          <w:szCs w:val="22"/>
        </w:rPr>
        <w:t xml:space="preserve"> — deployed by the user, downstream operator, or regulated institution, independently witnesses what was actually received</w:t>
      </w:r>
    </w:p>
    <w:p>
      <w:pPr>
        <w:pStyle w:val="ListParagraph"/>
        <w:numPr>
          <w:ilvl w:val="0"/>
          <w:numId w:val="2"/>
        </w:numPr>
      </w:pPr>
      <w:r>
        <w:rPr>
          <w:rFonts w:ascii="Arial" w:cs="Arial" w:eastAsia="Arial" w:hAnsi="Arial"/>
          <w:b/>
          <w:bCs/>
          <w:sz w:val="22"/>
          <w:szCs w:val="22"/>
        </w:rPr>
        <w:t xml:space="preserve">ASRO Backbone</w:t>
      </w:r>
      <w:r>
        <w:rPr>
          <w:rFonts w:ascii="Arial" w:cs="Arial" w:eastAsia="Arial" w:hAnsi="Arial"/>
          <w:sz w:val="22"/>
          <w:szCs w:val="22"/>
        </w:rPr>
        <w:t xml:space="preserve"> — the external verification layer that reconciles host and edge records and flags undeclared drift</w:t>
      </w:r>
    </w:p>
    <w:p>
      <w:pPr>
        <w:spacing w:after="60"/>
      </w:pPr>
    </w:p>
    <w:p>
      <w:pPr>
        <w:spacing w:after="120"/>
      </w:pPr>
      <w:r>
        <w:rPr>
          <w:rFonts w:ascii="Arial" w:cs="Arial" w:eastAsia="Arial" w:hAnsi="Arial"/>
          <w:sz w:val="22"/>
          <w:szCs w:val="22"/>
        </w:rPr>
        <w:t xml:space="preserve">This architecture has direct policy relevance. School districts, healthcare systems, and municipal governments deploying AI systems are already subject to data governance obligations under statutes including COPPA, SOPPA, HIPAA, and state-level equivalents. The Edge Meter Agent provides a technically verifiable compliance demonstration mechanism — a continuous, independently checkable record that declared data handling policies remained in force. ASRO attestation supports compliance demonstration; it does not determine legal compliance. That distinction is built into the framework's governance architecture.</w:t>
      </w:r>
    </w:p>
    <w:p>
      <w:pPr>
        <w:spacing w:after="60"/>
      </w:pPr>
    </w:p>
    <w:p>
      <w:pPr>
        <w:spacing w:after="120"/>
      </w:pPr>
      <w:r>
        <w:rPr>
          <w:rFonts w:ascii="Arial" w:cs="Arial" w:eastAsia="Arial" w:hAnsi="Arial"/>
          <w:sz w:val="22"/>
          <w:szCs w:val="22"/>
        </w:rPr>
        <w:t xml:space="preserve">The framework was stress-tested through a multi-round adversarial review process involving five AI systems independently analyzing the mechanism, identifying gaps, and proposing refinements. The review produced a materially stronger specification, a companion threat model, a credibility certification, and machine-readable schemas. It also surfaced a finding that is itself evidence for the framework's premise: one system produced output identical to another system's independent analysis, demonstrating exactly the signal-duplication problem ASRO is designed to address.</w:t>
      </w:r>
    </w:p>
    <w:p>
      <w:pPr>
        <w:spacing w:after="60"/>
      </w:pPr>
    </w:p>
    <w:p>
      <w:pPr>
        <w:spacing w:after="120"/>
      </w:pPr>
      <w:r>
        <w:rPr>
          <w:rFonts w:ascii="Arial" w:cs="Arial" w:eastAsia="Arial" w:hAnsi="Arial"/>
          <w:sz w:val="22"/>
          <w:szCs w:val="22"/>
        </w:rPr>
        <w:t xml:space="preserve">CSET's work on technical policy translation and the bridge between operational AI realities and governance frameworks makes this a natural conversation. I am not asking for institutional endorsement. I am asking whether this framework merits serious engagement — either as a comment on an open call, a working paper placement, or direct response to a CSET researcher working in adjacent territory.</w:t>
      </w:r>
    </w:p>
    <w:p>
      <w:pPr>
        <w:spacing w:after="60"/>
      </w:pPr>
    </w:p>
    <w:p>
      <w:pPr>
        <w:spacing w:after="120"/>
      </w:pPr>
      <w:r>
        <w:rPr>
          <w:rFonts w:ascii="Arial" w:cs="Arial" w:eastAsia="Arial" w:hAnsi="Arial"/>
          <w:sz w:val="22"/>
          <w:szCs w:val="22"/>
        </w:rPr>
        <w:t xml:space="preserve">The full v1.0 Release Candidate is publicly available at: https://github.com/magicianzcardstockllc/asro</w:t>
      </w:r>
    </w:p>
    <w:p>
      <w:pPr>
        <w:spacing w:after="60"/>
      </w:pPr>
    </w:p>
    <w:p>
      <w:pPr>
        <w:spacing w:after="120"/>
      </w:pPr>
      <w:r>
        <w:rPr>
          <w:rFonts w:ascii="Arial" w:cs="Arial" w:eastAsia="Arial" w:hAnsi="Arial"/>
          <w:sz w:val="22"/>
          <w:szCs w:val="22"/>
        </w:rPr>
        <w:t xml:space="preserve">The repository includes the complete technical specification (MAS v1.1 Unified), governance rationale, threat classification framework, credibility certification, and machine-readable schemas. The regulatory adoption scenario — demonstrating ASRO's application to COPPA/SOPPA compliance demonstration in educational AI deployment — may be of particular relevance to CSET's policy translation work.</w:t>
      </w:r>
    </w:p>
    <w:p>
      <w:pPr>
        <w:spacing w:after="60"/>
      </w:pPr>
    </w:p>
    <w:p>
      <w:pPr>
        <w:spacing w:after="120"/>
      </w:pPr>
      <w:r>
        <w:rPr>
          <w:rFonts w:ascii="Arial" w:cs="Arial" w:eastAsia="Arial" w:hAnsi="Arial"/>
          <w:sz w:val="22"/>
          <w:szCs w:val="22"/>
        </w:rPr>
        <w:t xml:space="preserve">Thank you for your time.</w:t>
      </w:r>
    </w:p>
    <w:p>
      <w:pPr>
        <w:spacing w:after="60"/>
      </w:pPr>
    </w:p>
    <w:p>
      <w:pPr>
        <w:spacing w:after="120"/>
      </w:pPr>
      <w:r>
        <w:rPr>
          <w:rFonts w:ascii="Arial" w:cs="Arial" w:eastAsia="Arial" w:hAnsi="Arial"/>
          <w:sz w:val="22"/>
          <w:szCs w:val="22"/>
        </w:rPr>
        <w:t xml:space="preserve">James Aull</w:t>
      </w:r>
    </w:p>
    <w:p>
      <w:pPr>
        <w:spacing w:after="120"/>
      </w:pPr>
      <w:r>
        <w:rPr>
          <w:rFonts w:ascii="Arial" w:cs="Arial" w:eastAsia="Arial" w:hAnsi="Arial"/>
          <w:sz w:val="22"/>
          <w:szCs w:val="22"/>
        </w:rPr>
        <w:t xml:space="preserve">james@michigrid.org</w:t>
      </w:r>
    </w:p>
    <w:p>
      <w:pPr>
        <w:spacing w:after="60"/>
      </w:pPr>
    </w:p>
    <w:p>
      <w:pPr>
        <w:spacing w:after="120"/>
      </w:pPr>
      <w:r>
        <w:rPr>
          <w:rFonts w:ascii="Arial" w:cs="Arial" w:eastAsia="Arial" w:hAnsi="Arial"/>
          <w:i/>
          <w:iCs/>
          <w:sz w:val="22"/>
          <w:szCs w:val="22"/>
        </w:rPr>
        <w:t xml:space="preserve">James Aull is the founder of Michigrid, a cooperative energy infrastructure platform in formation under Michigan law, developed through the same multi-system AI coordination process that produced ASRO.</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2026-04-06T18:54:11.149Z</dcterms:created>
  <dcterms:modified xsi:type="dcterms:W3CDTF">2026-04-06T18:54:11.149Z</dcterms:modified>
</cp:coreProperties>
</file>

<file path=docProps/custom.xml><?xml version="1.0" encoding="utf-8"?>
<Properties xmlns="http://schemas.openxmlformats.org/officeDocument/2006/custom-properties" xmlns:vt="http://schemas.openxmlformats.org/officeDocument/2006/docPropsVTypes"/>
</file>