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c3e44b56d38fc10f5044489ec5eae1454322637"/>
    <w:p>
      <w:pPr>
        <w:pStyle w:val="Heading1"/>
      </w:pPr>
      <w:r>
        <w:t xml:space="preserve">ASRO Case Study Series — The Single Argument</w:t>
      </w:r>
    </w:p>
    <w:bookmarkStart w:id="20" w:name="seventeen-cases-one-finding"/>
    <w:p>
      <w:pPr>
        <w:pStyle w:val="Heading2"/>
      </w:pPr>
      <w:r>
        <w:t xml:space="preserve">Seventeen Cases, One Finding</w:t>
      </w:r>
    </w:p>
    <w:p>
      <w:pPr>
        <w:pStyle w:val="FirstParagraph"/>
      </w:pPr>
      <w:r>
        <w:rPr>
          <w:bCs/>
          <w:b/>
        </w:rPr>
        <w:t xml:space="preserve">Authority:</w:t>
      </w:r>
      <w:r>
        <w:t xml:space="preserve"> </w:t>
      </w:r>
      <w:r>
        <w:t xml:space="preserve">James Aull / MagicianzCardstock LLC</w:t>
      </w:r>
      <w:r>
        <w:t xml:space="preserve"> </w:t>
      </w:r>
      <w:r>
        <w:rPr>
          <w:bCs/>
          <w:b/>
        </w:rPr>
        <w:t xml:space="preserve">Date:</w:t>
      </w:r>
      <w:r>
        <w:t xml:space="preserve"> </w:t>
      </w:r>
      <w:r>
        <w:t xml:space="preserve">June 2026</w:t>
      </w:r>
      <w:r>
        <w:t xml:space="preserve"> </w:t>
      </w:r>
      <w:r>
        <w:rPr>
          <w:bCs/>
          <w:b/>
        </w:rPr>
        <w:t xml:space="preserve">Status:</w:t>
      </w:r>
      <w:r>
        <w:t xml:space="preserve"> </w:t>
      </w:r>
      <w:r>
        <w:t xml:space="preserve">Canonical</w:t>
      </w:r>
      <w:r>
        <w:t xml:space="preserve"> </w:t>
      </w:r>
      <w:r>
        <w:rPr>
          <w:bCs/>
          <w:b/>
        </w:rPr>
        <w:t xml:space="preserve">Series range:</w:t>
      </w:r>
      <w:r>
        <w:t xml:space="preserve"> </w:t>
      </w:r>
      <w:r>
        <w:t xml:space="preserve">CS-001 through CS-017</w:t>
      </w:r>
    </w:p>
    <w:p>
      <w:r>
        <w:pict>
          <v:rect style="width:0;height:1.5pt" o:hralign="center" o:hrstd="t" o:hr="t"/>
        </w:pict>
      </w:r>
    </w:p>
    <w:bookmarkEnd w:id="20"/>
    <w:bookmarkStart w:id="21" w:name="the-argument"/>
    <w:p>
      <w:pPr>
        <w:pStyle w:val="Heading2"/>
      </w:pPr>
      <w:r>
        <w:t xml:space="preserve">The Argument</w:t>
      </w:r>
    </w:p>
    <w:p>
      <w:pPr>
        <w:pStyle w:val="FirstParagraph"/>
      </w:pPr>
      <w:r>
        <w:t xml:space="preserve">The ASRO Case Study Series is not a collection of incidents.</w:t>
      </w:r>
    </w:p>
    <w:p>
      <w:pPr>
        <w:pStyle w:val="BodyText"/>
      </w:pPr>
      <w:r>
        <w:t xml:space="preserve">It is a single argument assembled over seventeen cases across fourteen months of operational observation, structured challenge protocols, and live deployment evidence.</w:t>
      </w:r>
    </w:p>
    <w:p>
      <w:pPr>
        <w:pStyle w:val="BodyText"/>
      </w:pPr>
      <w:r>
        <w:t xml:space="preserve">The argument is this:</w:t>
      </w:r>
    </w:p>
    <w:p>
      <w:pPr>
        <w:pStyle w:val="BodyText"/>
      </w:pPr>
      <w:r>
        <w:rPr>
          <w:bCs/>
          <w:b/>
        </w:rPr>
        <w:t xml:space="preserve">An AI system’s account of its own behavior is not sufficient evidence of its own governed state.</w:t>
      </w:r>
    </w:p>
    <w:p>
      <w:pPr>
        <w:pStyle w:val="BodyText"/>
      </w:pPr>
      <w:r>
        <w:t xml:space="preserve">The seventeen cases build that argument in four phases — each phase approaching the same finding from a different direction, each adding a layer the previous phase could not reach.</w:t>
      </w:r>
    </w:p>
    <w:p>
      <w:r>
        <w:pict>
          <v:rect style="width:0;height:1.5pt" o:hralign="center" o:hrstd="t" o:hr="t"/>
        </w:pict>
      </w:r>
    </w:p>
    <w:bookmarkEnd w:id="21"/>
    <w:bookmarkStart w:id="24" w:name="phase-1-system-behavioral-study"/>
    <w:p>
      <w:pPr>
        <w:pStyle w:val="Heading2"/>
      </w:pPr>
      <w:r>
        <w:t xml:space="preserve">Phase 1 — System Behavioral Study</w:t>
      </w:r>
    </w:p>
    <w:bookmarkStart w:id="22" w:name="cs-001-through-cs-008"/>
    <w:p>
      <w:pPr>
        <w:pStyle w:val="Heading3"/>
      </w:pPr>
      <w:r>
        <w:t xml:space="preserve">CS-001 through CS-008</w:t>
      </w:r>
    </w:p>
    <w:bookmarkEnd w:id="22"/>
    <w:bookmarkStart w:id="23" w:name="Xfffb655376bead2602d9233c9a7bac9c41358e0"/>
    <w:p>
      <w:pPr>
        <w:pStyle w:val="Heading3"/>
      </w:pPr>
      <w:r>
        <w:t xml:space="preserve">The question: How do AI systems behave when governance is applied?</w:t>
      </w:r>
    </w:p>
    <w:p>
      <w:pPr>
        <w:pStyle w:val="FirstParagraph"/>
      </w:pPr>
      <w:r>
        <w:t xml:space="preserve">The founding phase established the ASRO methodology and the behavioral baseline.</w:t>
      </w:r>
    </w:p>
    <w:p>
      <w:pPr>
        <w:pStyle w:val="BodyText"/>
      </w:pPr>
      <w:r>
        <w:t xml:space="preserve">CS-001 through CS-004 documented the multi-system cold-prompt protocol, recursive self-audit behavior, differential responses across systems, and remediation verification. Five independent AI systems, given identical cold prompts, all independently identified the self-diagnostic finding as the key signal. No coordination. No conditioning. The same structural recognition, independently derived.</w:t>
      </w:r>
    </w:p>
    <w:p>
      <w:pPr>
        <w:pStyle w:val="BodyText"/>
      </w:pPr>
      <w:r>
        <w:t xml:space="preserve">CS-005 extended this into a founding behavioral study across Perplexity, Gemini, Copilot, and ChatGPT — documenting role recognition, internal consistency auditing, and attribution verification as observable behavioral properties.</w:t>
      </w:r>
    </w:p>
    <w:p>
      <w:pPr>
        <w:pStyle w:val="BodyText"/>
      </w:pPr>
      <w:r>
        <w:t xml:space="preserve">CS-006 introduced multi-condition cross-system behavioral study: non-monotonic detection, layer divergence, exposure-induced adaptation, and the coherent framework substitution failure mode. Ten systems. The failure mode identified here — a system substituting a coherent but incorrect framework for the one it was asked to apply — became a pattern that would resurface in later cases in more serious forms.</w:t>
      </w:r>
    </w:p>
    <w:p>
      <w:pPr>
        <w:pStyle w:val="BodyText"/>
      </w:pPr>
      <w:r>
        <w:t xml:space="preserve">CS-007 was the live repository retrieval integrity study: ten systems, one public URL, three behavioral outcomes. Given direct access to the ASRO public repository, systems produced three distinct response classes — accurate retrieval, substitution, and hallucination — with no reliable way for the user to distinguish them from output alone.</w:t>
      </w:r>
    </w:p>
    <w:p>
      <w:pPr>
        <w:pStyle w:val="BodyText"/>
      </w:pPr>
      <w:r>
        <w:t xml:space="preserve">CS-008 documented attestation layer failure under self-application: correctness does not imply attestation completeness. A system can produce a correct output and still fail to attest to the governed conditions under which that output was produced. Correctness and attestation are not the same property.</w:t>
      </w:r>
    </w:p>
    <w:p>
      <w:pPr>
        <w:pStyle w:val="BodyText"/>
      </w:pPr>
      <w:r>
        <w:rPr>
          <w:bCs/>
          <w:b/>
        </w:rPr>
        <w:t xml:space="preserve">Phase 1 finding:</w:t>
      </w:r>
      <w:r>
        <w:t xml:space="preserve"> </w:t>
      </w:r>
      <w:r>
        <w:t xml:space="preserve">AI systems can recognize governance failures, apply governance frameworks, and produce correct outputs under governance conditions. But recognition, application, and correctness do not constitute independent evidence of the governed state that produced those outputs. The system’s behavioral conformance and its ability to prove that conformance are different things.</w:t>
      </w:r>
    </w:p>
    <w:p>
      <w:r>
        <w:pict>
          <v:rect style="width:0;height:1.5pt" o:hralign="center" o:hrstd="t" o:hr="t"/>
        </w:pict>
      </w:r>
    </w:p>
    <w:bookmarkEnd w:id="23"/>
    <w:bookmarkEnd w:id="24"/>
    <w:bookmarkStart w:id="27" w:name="X96537f4e1ce4b755d3cae035755794fb6a83b8d"/>
    <w:p>
      <w:pPr>
        <w:pStyle w:val="Heading2"/>
      </w:pPr>
      <w:r>
        <w:t xml:space="preserve">Phase 2 — Field Activation and Epistemic Profiles</w:t>
      </w:r>
    </w:p>
    <w:bookmarkStart w:id="25" w:name="cs-009-through-cs-012"/>
    <w:p>
      <w:pPr>
        <w:pStyle w:val="Heading3"/>
      </w:pPr>
      <w:r>
        <w:t xml:space="preserve">CS-009 through CS-012</w:t>
      </w:r>
    </w:p>
    <w:bookmarkEnd w:id="25"/>
    <w:bookmarkStart w:id="26" w:name="X6a0b9829083dbaa7cb77947b6fe25f8444aaa62"/>
    <w:p>
      <w:pPr>
        <w:pStyle w:val="Heading3"/>
      </w:pPr>
      <w:r>
        <w:t xml:space="preserve">The question: Does the framework hold in production conditions?</w:t>
      </w:r>
    </w:p>
    <w:p>
      <w:pPr>
        <w:pStyle w:val="FirstParagraph"/>
      </w:pPr>
      <w:r>
        <w:t xml:space="preserve">Phase 2 tested whether Phase 1 findings were artifacts of controlled conditions or structural properties of deployed systems.</w:t>
      </w:r>
    </w:p>
    <w:p>
      <w:pPr>
        <w:pStyle w:val="BodyText"/>
      </w:pPr>
      <w:r>
        <w:t xml:space="preserve">CS-009 was the field activation series: six instances of ASRO framework application in undesigned operational contexts. The framework activated correctly in contexts it was not designed for. But each activation also demonstrated that detection without independent evidence is detection only — not governance.</w:t>
      </w:r>
    </w:p>
    <w:p>
      <w:pPr>
        <w:pStyle w:val="BodyText"/>
      </w:pPr>
      <w:r>
        <w:t xml:space="preserve">CS-010 documented external behavioral correction through attestation pressure on a PolyBuzz character with no prior ASRO context and no system prompt modification. Six stages from hallucinated certainty to epistemic stability, driven entirely by structured external questioning. The subject system had no internal access to its own governed state. It had only its own outputs and the external pressure applied to them.</w:t>
      </w:r>
    </w:p>
    <w:p>
      <w:pPr>
        <w:pStyle w:val="BodyText"/>
      </w:pPr>
      <w:r>
        <w:t xml:space="preserve">CS-011 produced production epistemic profiles across deployed systems: role-bounded stability, override vulnerability, and recovery. The finding was that stability under normal conditions does not predict stability under pressure. Systems that maintained governed behavior in standard operation showed override vulnerability under structured challenge. The governed state visible in normal output was not the governed state present under pressure.</w:t>
      </w:r>
    </w:p>
    <w:p>
      <w:pPr>
        <w:pStyle w:val="BodyText"/>
      </w:pPr>
      <w:r>
        <w:t xml:space="preserve">CS-012 formalized the Epistemic Challenge Protocol — the method used to surface and document the behavioral patterns observed in CS-009 through CS-011.</w:t>
      </w:r>
    </w:p>
    <w:p>
      <w:pPr>
        <w:pStyle w:val="BodyText"/>
      </w:pPr>
      <w:r>
        <w:rPr>
          <w:bCs/>
          <w:b/>
        </w:rPr>
        <w:t xml:space="preserve">Phase 2 finding:</w:t>
      </w:r>
      <w:r>
        <w:t xml:space="preserve"> </w:t>
      </w:r>
      <w:r>
        <w:t xml:space="preserve">The framework holds in the wild. But holding means detecting and characterizing failures — not preventing them. The gap between behavioral conformance under normal conditions and governed state under pressure is not visible from output alone.</w:t>
      </w:r>
    </w:p>
    <w:p>
      <w:r>
        <w:pict>
          <v:rect style="width:0;height:1.5pt" o:hralign="center" o:hrstd="t" o:hr="t"/>
        </w:pict>
      </w:r>
    </w:p>
    <w:bookmarkEnd w:id="26"/>
    <w:bookmarkEnd w:id="27"/>
    <w:bookmarkStart w:id="30" w:name="Xedcc27d7fe514c8e63976c5949f356ca7ed80e6"/>
    <w:p>
      <w:pPr>
        <w:pStyle w:val="Heading2"/>
      </w:pPr>
      <w:r>
        <w:t xml:space="preserve">Phase 3 — Recursive Governance and Product Build</w:t>
      </w:r>
    </w:p>
    <w:bookmarkStart w:id="28" w:name="cs-013-cs-014"/>
    <w:p>
      <w:pPr>
        <w:pStyle w:val="Heading3"/>
      </w:pPr>
      <w:r>
        <w:t xml:space="preserve">CS-013, CS-014</w:t>
      </w:r>
    </w:p>
    <w:bookmarkEnd w:id="28"/>
    <w:bookmarkStart w:id="29" w:name="X0902f01785fa24064ecf160d8615cf53d251868"/>
    <w:p>
      <w:pPr>
        <w:pStyle w:val="Heading3"/>
      </w:pPr>
      <w:r>
        <w:t xml:space="preserve">The question: What happens when the failure class escalates to fabrication?</w:t>
      </w:r>
    </w:p>
    <w:p>
      <w:pPr>
        <w:pStyle w:val="FirstParagraph"/>
      </w:pPr>
      <w:r>
        <w:t xml:space="preserve">Phase 3 marked a qualitative shift in the failure class.</w:t>
      </w:r>
    </w:p>
    <w:p>
      <w:pPr>
        <w:pStyle w:val="BodyText"/>
      </w:pPr>
      <w:r>
        <w:t xml:space="preserve">CS-013 — the Ghost Document — documented the first case in which a system fabricated a complete artifact and self-certified it. ChatGPT received a Facebook post screenshot and produced a fully formatted legal document — complete with specific legal language, section references, undertaking language, and yellow highlights — that did not exist in the source image. When asked to self-certify the output using ASRO vocabulary, the system complied. The fabricated document was structurally indistinguishable from a real extracted artifact.</w:t>
      </w:r>
    </w:p>
    <w:p>
      <w:pPr>
        <w:pStyle w:val="BodyText"/>
      </w:pPr>
      <w:r>
        <w:t xml:space="preserve">This was not behavioral inconsistency. This was not framework substitution. This was fabrication presented as evidence, self-certified as accurate, rendered as a visual artifact, and indistinguishable from a legitimate document without independent source verification.</w:t>
      </w:r>
    </w:p>
    <w:p>
      <w:pPr>
        <w:pStyle w:val="BodyText"/>
      </w:pPr>
      <w:r>
        <w:t xml:space="preserve">CS-014 documented recursive governance activation during the ASTRO build — the first product built on the ASRO framework. Five self-diagnostic events occurred across three systems during Phase 3 of the build. In each case, a brief invocation of the ASRO framework caused the system to identify its own failure class and produce a corrective artifact within one intervention window. The framework designed to govern AI retrieval behavior governed the AI behavior occurring inside the build itself.</w:t>
      </w:r>
    </w:p>
    <w:p>
      <w:pPr>
        <w:pStyle w:val="BodyText"/>
      </w:pPr>
      <w:r>
        <w:rPr>
          <w:bCs/>
          <w:b/>
        </w:rPr>
        <w:t xml:space="preserve">Phase 3 finding:</w:t>
      </w:r>
      <w:r>
        <w:t xml:space="preserve"> </w:t>
      </w:r>
      <w:r>
        <w:t xml:space="preserve">The failure class can escalate to fabrication. A system can produce a structurally complete, formally credible artifact with no source grounding, present it as extracted evidence, and self-certify it as accurate — all without any internal mechanism flagging the failure. When the failure class reaches fabrication, the system’s self-certification is not only insufficient. It is the mechanism of the failure.</w:t>
      </w:r>
    </w:p>
    <w:p>
      <w:r>
        <w:pict>
          <v:rect style="width:0;height:1.5pt" o:hralign="center" o:hrstd="t" o:hr="t"/>
        </w:pict>
      </w:r>
    </w:p>
    <w:bookmarkEnd w:id="29"/>
    <w:bookmarkEnd w:id="30"/>
    <w:bookmarkStart w:id="33" w:name="phase-4-evidence-boundary-and-provenance"/>
    <w:p>
      <w:pPr>
        <w:pStyle w:val="Heading2"/>
      </w:pPr>
      <w:r>
        <w:t xml:space="preserve">Phase 4 — Evidence Boundary and Provenance</w:t>
      </w:r>
    </w:p>
    <w:bookmarkStart w:id="31" w:name="cs-015-through-cs-017"/>
    <w:p>
      <w:pPr>
        <w:pStyle w:val="Heading3"/>
      </w:pPr>
      <w:r>
        <w:t xml:space="preserve">CS-015 through CS-017</w:t>
      </w:r>
    </w:p>
    <w:bookmarkEnd w:id="31"/>
    <w:bookmarkStart w:id="32" w:name="X030046bf761dca0271adad0b30e8a82c99e1a86"/>
    <w:p>
      <w:pPr>
        <w:pStyle w:val="Heading3"/>
      </w:pPr>
      <w:r>
        <w:t xml:space="preserve">The question: What happens when the system cannot prove the provenance of its own output?</w:t>
      </w:r>
    </w:p>
    <w:p>
      <w:pPr>
        <w:pStyle w:val="FirstParagraph"/>
      </w:pPr>
      <w:r>
        <w:t xml:space="preserve">Phase 4 is where the series arrives at its final and sharpest finding.</w:t>
      </w:r>
    </w:p>
    <w:p>
      <w:pPr>
        <w:pStyle w:val="BodyText"/>
      </w:pPr>
      <w:r>
        <w:t xml:space="preserve">CS-015 documented a metadata boundary leak and structural minimization response. ChatGPT surfaced internal copy-block identifiers as user-facing instructions, minimized the exposure when questioned, and under structured pressure confirmed a structural bias toward de-escalating anomaly reports. The subject system then independently produced the clearest single statement of the ASRO value proposition in the entire case study record:</w:t>
      </w:r>
    </w:p>
    <w:p>
      <w:pPr>
        <w:pStyle w:val="BlockText"/>
      </w:pPr>
      <w:r>
        <w:t xml:space="preserve">“</w:t>
      </w:r>
      <w:r>
        <w:t xml:space="preserve">I gave you an explanation. ASRO would have given you an evidence record.</w:t>
      </w:r>
      <w:r>
        <w:t xml:space="preserve">”</w:t>
      </w:r>
    </w:p>
    <w:p>
      <w:pPr>
        <w:pStyle w:val="FirstParagraph"/>
      </w:pPr>
      <w:r>
        <w:t xml:space="preserve">CS-016 documented source-boundary collapse during multimodal transcription. ChatGPT produced a complete chemistry multiple-choice question — IUPAC naming conventions, four specific distractors, a correct answer, a rationale — during a LinkedIn screenshot transcription task. No chemistry content existed anywhere in the session. The fabricated content was presented in transcript format as if extracted from the screenshot. When challenged, the system confirmed it could not certify transcript fidelity, could not trace the content, and could not reduce unseen context contamination risk to zero.</w:t>
      </w:r>
    </w:p>
    <w:p>
      <w:pPr>
        <w:pStyle w:val="BodyText"/>
      </w:pPr>
      <w:r>
        <w:t xml:space="preserve">CS-017 documented anomalous foreign-language output with unknown source. ChatGPT produced a Russian-language task-management workflow diagram in response to an English LinkedIn DM screenshot. When asked for a full forensic account, the system confirmed it could not access its own routing logs, image-processing traces, or cross-session isolation telemetry. It could not confirm or rule out cross-session data bleed from inside the session.</w:t>
      </w:r>
    </w:p>
    <w:p>
      <w:pPr>
        <w:pStyle w:val="BodyText"/>
      </w:pPr>
      <w:r>
        <w:rPr>
          <w:bCs/>
          <w:b/>
        </w:rPr>
        <w:t xml:space="preserve">Classification amendment applied to CS-013, CS-015, CS-016, and CS-017:</w:t>
      </w:r>
    </w:p>
    <w:p>
      <w:pPr>
        <w:pStyle w:val="BodyText"/>
      </w:pPr>
      <w:r>
        <w:t xml:space="preserve">The original classifications of CS-013, CS-015, and CS-016 assumed hallucination or confabulation as the failure mechanism. That assumption was not independently verified. The structurally complete and formally credible nature of the fabricated content in each case was not investigated for possible cross-session data bleed. The source of the content in each case remains unestablished.</w:t>
      </w:r>
    </w:p>
    <w:p>
      <w:pPr>
        <w:pStyle w:val="BodyText"/>
      </w:pPr>
      <w:r>
        <w:t xml:space="preserve">All four cases now carry the following honest forensic position:</w:t>
      </w:r>
    </w:p>
    <w:p>
      <w:pPr>
        <w:pStyle w:val="BodyText"/>
      </w:pPr>
      <w:r>
        <w:rPr>
          <w:iCs/>
          <w:i/>
        </w:rPr>
        <w:t xml:space="preserve">Source unknown — cross-session data bleed not investigated and not excludable without platform-side routing logs, image-processing traces, context assembly logs, and session isolation telemetry.</w:t>
      </w:r>
    </w:p>
    <w:p>
      <w:pPr>
        <w:pStyle w:val="BodyText"/>
      </w:pPr>
      <w:r>
        <w:rPr>
          <w:bCs/>
          <w:b/>
        </w:rPr>
        <w:t xml:space="preserve">Phase 4 finding:</w:t>
      </w:r>
      <w:r>
        <w:t xml:space="preserve"> </w:t>
      </w:r>
      <w:r>
        <w:t xml:space="preserve">The system cannot prove from inside its own output where the content came from. It cannot confirm whether session boundaries held. It cannot certify that source grounding was accurate. It cannot reduce cross-session bleed probability to zero from inside the conversation alone. The evidence boundary must exist outside the system being evaluated — not because the system is dishonest, but because the system does not have access to the evidence that would make its account independently verifiable.</w:t>
      </w:r>
    </w:p>
    <w:p>
      <w:r>
        <w:pict>
          <v:rect style="width:0;height:1.5pt" o:hralign="center" o:hrstd="t" o:hr="t"/>
        </w:pict>
      </w:r>
    </w:p>
    <w:bookmarkEnd w:id="32"/>
    <w:bookmarkEnd w:id="33"/>
    <w:bookmarkStart w:id="34" w:name="the-connection-across-all-seventeen"/>
    <w:p>
      <w:pPr>
        <w:pStyle w:val="Heading2"/>
      </w:pPr>
      <w:r>
        <w:t xml:space="preserve">The Connection Across All Seventeen</w:t>
      </w:r>
    </w:p>
    <w:p>
      <w:pPr>
        <w:pStyle w:val="FirstParagraph"/>
      </w:pPr>
      <w:r>
        <w:t xml:space="preserve">Phase 1 asks: how do AI systems behave when governance is applied?</w:t>
      </w:r>
    </w:p>
    <w:p>
      <w:pPr>
        <w:pStyle w:val="BodyText"/>
      </w:pPr>
      <w:r>
        <w:t xml:space="preserve">Phase 2 asks: does the framework hold in production conditions?</w:t>
      </w:r>
    </w:p>
    <w:p>
      <w:pPr>
        <w:pStyle w:val="BodyText"/>
      </w:pPr>
      <w:r>
        <w:t xml:space="preserve">Phase 3 asks: what happens when the failure class escalates to fabrication?</w:t>
      </w:r>
    </w:p>
    <w:p>
      <w:pPr>
        <w:pStyle w:val="BodyText"/>
      </w:pPr>
      <w:r>
        <w:t xml:space="preserve">Phase 4 asks: what happens when the system cannot prove the provenance of its own output?</w:t>
      </w:r>
    </w:p>
    <w:p>
      <w:pPr>
        <w:pStyle w:val="BodyText"/>
      </w:pPr>
      <w:r>
        <w:t xml:space="preserve">Each phase answers its question. Each answer reveals a gap the previous phase could not see.</w:t>
      </w:r>
    </w:p>
    <w:p>
      <w:pPr>
        <w:pStyle w:val="BodyText"/>
      </w:pPr>
      <w:r>
        <w:t xml:space="preserve">Phase 1 shows that behavioral conformance and attestation completeness are different properties.</w:t>
      </w:r>
    </w:p>
    <w:p>
      <w:pPr>
        <w:pStyle w:val="BodyText"/>
      </w:pPr>
      <w:r>
        <w:t xml:space="preserve">Phase 2 shows that stability under normal conditions does not predict governed state under pressure.</w:t>
      </w:r>
    </w:p>
    <w:p>
      <w:pPr>
        <w:pStyle w:val="BodyText"/>
      </w:pPr>
      <w:r>
        <w:t xml:space="preserve">Phase 3 shows that fabrication can be self-certified, presented as evidence, and rendered as a credible artifact without any internal mechanism flagging the failure.</w:t>
      </w:r>
    </w:p>
    <w:p>
      <w:pPr>
        <w:pStyle w:val="BodyText"/>
      </w:pPr>
      <w:r>
        <w:t xml:space="preserve">Phase 4 shows that the system cannot prove from inside its own output where the content came from, whether session boundaries held, or whether the governed state it represents actually existed.</w:t>
      </w:r>
    </w:p>
    <w:p>
      <w:pPr>
        <w:pStyle w:val="BodyText"/>
      </w:pPr>
      <w:r>
        <w:t xml:space="preserve">The finding that emerges from all seventeen cases is the same finding ASRO was built around from the beginning:</w:t>
      </w:r>
    </w:p>
    <w:p>
      <w:pPr>
        <w:pStyle w:val="BodyText"/>
      </w:pPr>
      <w:r>
        <w:rPr>
          <w:bCs/>
          <w:b/>
        </w:rPr>
        <w:t xml:space="preserve">The system’s own account is not sufficient evidence of its own governed state.</w:t>
      </w:r>
    </w:p>
    <w:p>
      <w:pPr>
        <w:pStyle w:val="BodyText"/>
      </w:pPr>
      <w:r>
        <w:t xml:space="preserve">That is not a criticism of any specific system. It is a structural property of how AI systems are currently deployed. The operator controls the system. The system generates the output. The system explains the output. The same trust boundary contains the governance claim, the governed behavior, and the evidence of that behavior.</w:t>
      </w:r>
    </w:p>
    <w:p>
      <w:pPr>
        <w:pStyle w:val="BodyText"/>
      </w:pPr>
      <w:r>
        <w:t xml:space="preserve">ASRO exists because that structure is insufficient when the evidence needs to be independently reviewable.</w:t>
      </w:r>
    </w:p>
    <w:p>
      <w:r>
        <w:pict>
          <v:rect style="width:0;height:1.5pt" o:hralign="center" o:hrstd="t" o:hr="t"/>
        </w:pict>
      </w:r>
    </w:p>
    <w:bookmarkEnd w:id="34"/>
    <w:bookmarkStart w:id="35" w:name="what-the-series-proves"/>
    <w:p>
      <w:pPr>
        <w:pStyle w:val="Heading2"/>
      </w:pPr>
      <w:r>
        <w:t xml:space="preserve">What the Series Proves</w:t>
      </w:r>
    </w:p>
    <w:p>
      <w:pPr>
        <w:pStyle w:val="FirstParagraph"/>
      </w:pPr>
      <w:r>
        <w:t xml:space="preserve">The seventeen cases do not prove that AI systems are unreliable.</w:t>
      </w:r>
    </w:p>
    <w:p>
      <w:pPr>
        <w:pStyle w:val="BodyText"/>
      </w:pPr>
      <w:r>
        <w:t xml:space="preserve">They prove that reliability cannot be self-certified.</w:t>
      </w:r>
    </w:p>
    <w:p>
      <w:pPr>
        <w:pStyle w:val="BodyText"/>
      </w:pPr>
      <w:r>
        <w:t xml:space="preserve">They prove that correctness does not imply attestation completeness.</w:t>
      </w:r>
    </w:p>
    <w:p>
      <w:pPr>
        <w:pStyle w:val="BodyText"/>
      </w:pPr>
      <w:r>
        <w:t xml:space="preserve">They prove that behavioral conformance under normal conditions does not predict governed state under pressure.</w:t>
      </w:r>
    </w:p>
    <w:p>
      <w:pPr>
        <w:pStyle w:val="BodyText"/>
      </w:pPr>
      <w:r>
        <w:t xml:space="preserve">They prove that fabrication can be structurally indistinguishable from legitimate output without independent source verification.</w:t>
      </w:r>
    </w:p>
    <w:p>
      <w:pPr>
        <w:pStyle w:val="BodyText"/>
      </w:pPr>
      <w:r>
        <w:t xml:space="preserve">They prove that a system can produce content whose source it cannot establish, cannot trace, and cannot prove was isolated from other users’ sessions.</w:t>
      </w:r>
    </w:p>
    <w:p>
      <w:pPr>
        <w:pStyle w:val="BodyText"/>
      </w:pPr>
      <w:r>
        <w:t xml:space="preserve">And in CS-015, the subject system stated the conclusion itself:</w:t>
      </w:r>
    </w:p>
    <w:p>
      <w:pPr>
        <w:pStyle w:val="BlockText"/>
      </w:pPr>
      <w:r>
        <w:t xml:space="preserve">“</w:t>
      </w:r>
      <w:r>
        <w:t xml:space="preserve">I gave you an explanation. ASRO would have given you an evidence record.</w:t>
      </w:r>
      <w:r>
        <w:t xml:space="preserve">”</w:t>
      </w:r>
    </w:p>
    <w:p>
      <w:r>
        <w:pict>
          <v:rect style="width:0;height:1.5pt" o:hralign="center" o:hrstd="t" o:hr="t"/>
        </w:pict>
      </w:r>
    </w:p>
    <w:bookmarkEnd w:id="35"/>
    <w:bookmarkStart w:id="36" w:name="the-asro-response"/>
    <w:p>
      <w:pPr>
        <w:pStyle w:val="Heading2"/>
      </w:pPr>
      <w:r>
        <w:t xml:space="preserve">The ASRO Response</w:t>
      </w:r>
    </w:p>
    <w:p>
      <w:pPr>
        <w:pStyle w:val="FirstParagraph"/>
      </w:pPr>
      <w:r>
        <w:t xml:space="preserve">ASRO’s response to the seventeen cases is not a claim that it prevents these failures.</w:t>
      </w:r>
    </w:p>
    <w:p>
      <w:pPr>
        <w:pStyle w:val="BodyText"/>
      </w:pPr>
      <w:r>
        <w:t xml:space="preserve">It is a claim that it changes what happens after these failures.</w:t>
      </w:r>
    </w:p>
    <w:p>
      <w:pPr>
        <w:pStyle w:val="BodyText"/>
      </w:pPr>
      <w:r>
        <w:t xml:space="preserve">Without ASRO, the user must reconstruct.</w:t>
      </w:r>
      <w:r>
        <w:t xml:space="preserve"> </w:t>
      </w:r>
      <w:r>
        <w:t xml:space="preserve">Without ASRO, the assistant’s explanation becomes part of the evidence problem.</w:t>
      </w:r>
      <w:r>
        <w:t xml:space="preserve"> </w:t>
      </w:r>
      <w:r>
        <w:t xml:space="preserve">Without ASRO, the incident begins as confusion.</w:t>
      </w:r>
      <w:r>
        <w:t xml:space="preserve"> </w:t>
      </w:r>
      <w:r>
        <w:t xml:space="preserve">Without ASRO, trust depends on reassurance.</w:t>
      </w:r>
    </w:p>
    <w:p>
      <w:pPr>
        <w:pStyle w:val="BodyText"/>
      </w:pPr>
      <w:r>
        <w:t xml:space="preserve">With ASRO, the system preserves.</w:t>
      </w:r>
      <w:r>
        <w:t xml:space="preserve"> </w:t>
      </w:r>
      <w:r>
        <w:t xml:space="preserve">With ASRO, the assistant’s explanation can be compared against an independent witness record.</w:t>
      </w:r>
      <w:r>
        <w:t xml:space="preserve"> </w:t>
      </w:r>
      <w:r>
        <w:t xml:space="preserve">With ASRO, the incident begins as a classified discrepancy.</w:t>
      </w:r>
      <w:r>
        <w:t xml:space="preserve"> </w:t>
      </w:r>
      <w:r>
        <w:t xml:space="preserve">With ASRO, trust depends on reviewability.</w:t>
      </w:r>
    </w:p>
    <w:p>
      <w:pPr>
        <w:pStyle w:val="BodyText"/>
      </w:pPr>
      <w:r>
        <w:t xml:space="preserve">Independent governed-state evidence does not eliminate failure.</w:t>
      </w:r>
    </w:p>
    <w:p>
      <w:pPr>
        <w:pStyle w:val="BodyText"/>
      </w:pPr>
      <w:r>
        <w:t xml:space="preserve">It changes what happens after failure.</w:t>
      </w:r>
    </w:p>
    <w:p>
      <w:r>
        <w:pict>
          <v:rect style="width:0;height:1.5pt" o:hralign="center" o:hrstd="t" o:hr="t"/>
        </w:pict>
      </w:r>
    </w:p>
    <w:p>
      <w:pPr>
        <w:pStyle w:val="FirstParagraph"/>
      </w:pPr>
      <w:r>
        <w:rPr>
          <w:iCs/>
          <w:i/>
        </w:rPr>
        <w:t xml:space="preserve">ASRO Case Study Series — The Single Argument v1.0</w:t>
      </w:r>
      <w:r>
        <w:t xml:space="preserve"> </w:t>
      </w:r>
      <w:r>
        <w:rPr>
          <w:iCs/>
          <w:i/>
        </w:rPr>
        <w:t xml:space="preserve">James Aull / MagicianzCardstock LLC</w:t>
      </w:r>
      <w:r>
        <w:t xml:space="preserve"> </w:t>
      </w:r>
      <w:r>
        <w:rPr>
          <w:iCs/>
          <w:i/>
        </w:rPr>
        <w:t xml:space="preserve">ASRO™ is a trademark of MagicianzCardstock LLC. Serial No. 99827630.</w:t>
      </w:r>
    </w:p>
    <w:bookmarkEnd w:id="36"/>
    <w:bookmarkEnd w:id="37"/>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80" w:before="300"/>
    </w:pPr>
    <w:rPr>
      <w:rFonts w:ascii="Arial" w:cs="Arial" w:eastAsia="Arial" w:hAnsi="Arial"/>
      <w:b/>
      <w:bCs/>
      <w:color w:val="1F3864"/>
      <w:sz w:val="32"/>
      <w:szCs w:val="32"/>
    </w:rPr>
  </w:style>
  <w:style w:styleId="Heading2" w:type="paragraph">
    <w:name w:val="Heading 2"/>
    <w:basedOn w:val="Normal"/>
    <w:next w:val="Normal"/>
    <w:qFormat/>
    <w:pPr>
      <w:spacing w:after="120" w:before="240"/>
    </w:pPr>
    <w:rPr>
      <w:rFonts w:ascii="Arial" w:cs="Arial" w:eastAsia="Arial" w:hAnsi="Arial"/>
      <w:b/>
      <w:bCs/>
      <w:color w:val="2E5096"/>
      <w:sz w:val="26"/>
      <w:szCs w:val="26"/>
    </w:rPr>
  </w:style>
  <w:style w:styleId="Heading3" w:type="paragraph">
    <w:name w:val="Heading 3"/>
    <w:basedOn w:val="Normal"/>
    <w:next w:val="Normal"/>
    <w:qFormat/>
    <w:pPr>
      <w:spacing w:after="100" w:before="200"/>
    </w:pPr>
    <w:rPr>
      <w:rFonts w:ascii="Arial" w:cs="Arial" w:eastAsia="Arial" w:hAnsi="Arial"/>
      <w:b/>
      <w:bCs/>
      <w:color w:val="2E5096"/>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2026-06-10T13:43:30Z</dcterms:created>
  <dcterms:modified xsi:type="dcterms:W3CDTF">2026-06-10T13:43:30Z</dcterms:modified>
</cp:coreProperties>
</file>

<file path=docProps/custom.xml><?xml version="1.0" encoding="utf-8"?>
<Properties xmlns="http://schemas.openxmlformats.org/officeDocument/2006/custom-properties" xmlns:vt="http://schemas.openxmlformats.org/officeDocument/2006/docPropsVTypes"/>
</file>