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1a3a2a"/>
          <w:sz w:val="36"/>
          <w:szCs w:val="36"/>
        </w:rPr>
        <w:t xml:space="preserve">ASRO v1.0 Release Candidate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3a2a"/>
          <w:sz w:val="28"/>
          <w:szCs w:val="28"/>
        </w:rPr>
        <w:t xml:space="preserve">Attestation and System Reliability Operator — AI Governance Evidence Framework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Contact: james@aisystemsreliability.org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Repository: https://github.com/magicianzcardstockllc/asro</w:t>
      </w:r>
    </w:p>
    <w:p/>
    <w:p>
      <w:pPr>
        <w:pBdr>
          <w:bottom w:val="single" w:color="c8c3b8" w:sz="4"/>
        </w:pBdr>
        <w:spacing w:after="120" w:before="120"/>
      </w:pPr>
    </w:p>
    <w:p/>
    <w:p>
      <w:pPr>
        <w:pBdr>
          <w:left w:val="single" w:color="c84b1a" w:sz="6" w:space="4"/>
        </w:pBdr>
        <w:spacing w:after="120" w:before="120"/>
        <w:ind w:left="360"/>
      </w:pPr>
      <w:r>
        <w:rPr>
          <w:rFonts w:ascii="Arial" w:cs="Arial" w:eastAsia="Arial" w:hAnsi="Arial"/>
          <w:b/>
          <w:bCs/>
          <w:i/>
          <w:iCs/>
          <w:color w:val="1a3a2a"/>
          <w:sz w:val="22"/>
          <w:szCs w:val="22"/>
        </w:rPr>
        <w:t xml:space="preserve">ASRO does not trust operators to report their own compliance — it makes compliance verifiable by the parties who depend on it.</w:t>
      </w:r>
    </w:p>
    <w:p/>
    <w:p>
      <w:pPr>
        <w:pBdr>
          <w:left w:val="single" w:color="c84b1a" w:sz="6" w:space="4"/>
        </w:pBdr>
        <w:spacing w:after="120" w:before="120"/>
        <w:ind w:left="360"/>
      </w:pPr>
      <w:r>
        <w:rPr>
          <w:rFonts w:ascii="Arial" w:cs="Arial" w:eastAsia="Arial" w:hAnsi="Arial"/>
          <w:b/>
          <w:bCs/>
          <w:i/>
          <w:iCs/>
          <w:color w:val="1a3a2a"/>
          <w:sz w:val="22"/>
          <w:szCs w:val="22"/>
        </w:rPr>
        <w:t xml:space="preserve">Internal measurement is not independent oversight. Trust arises only when host measurement, edge witnessing, and ASRO reconciliation remain consistent over time.</w:t>
      </w:r>
    </w:p>
    <w:p/>
    <w:p>
      <w:pPr>
        <w:pBdr>
          <w:bottom w:val="single" w:color="c8c3b8" w:sz="4"/>
        </w:pBdr>
        <w:spacing w:after="120" w:before="120"/>
      </w:pP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ASRO is a cryptographic attestation framework for verifying AI deployment-state continuity. It makes governance claims independently checkable without requiring access to conversation content, model internals, or user data.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ASRO was developed by James Aull, founder of Michigrid, a cooperative energy infrastructure platform in formation under Michigan law, through the same multi-system AI coordination process that produced the framework itself.</w:t>
      </w:r>
    </w:p>
    <w:p/>
    <w:p>
      <w:pPr>
        <w:pBdr>
          <w:bottom w:val="single" w:color="c8c3b8" w:sz="4"/>
        </w:pBdr>
        <w:spacing w:after="120" w:before="120"/>
      </w:pPr>
    </w:p>
    <w:p/>
    <w:p>
      <w:pPr>
        <w:pStyle w:val="Heading2"/>
      </w:pPr>
      <w:r>
        <w:rPr>
          <w:rFonts w:ascii="Arial" w:cs="Arial" w:eastAsia="Arial" w:hAnsi="Arial"/>
          <w:b/>
          <w:bCs/>
          <w:color w:val="1a3a2a"/>
          <w:sz w:val="28"/>
          <w:szCs w:val="28"/>
        </w:rPr>
        <w:t xml:space="preserve">Why ASRO Exists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Modern AI systems are non-deterministic and continuously updated. Retroactive auditing through replay is not viable: the same prompt at a different time or system state will not produce the same output. The only defensible verification point is the moment of change.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framework originated from a direct operational observation. As the operator of a community-facing AI chatbot, the author had full backend access — the ability to read logged conversations, identify patterns, and alter system behavior in ways users had no mechanism to detect. This is not a theoretical vulnerability. It is a structural feature of how AI systems are architected at every scale. The mechanism does not change with scale. Only the impact does.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ASRO provides the strongest practical verification available under current deployment conditions: cryptographic proof that a qualifying change was classified, signed, chained, and recorded when it occurred.</w:t>
      </w:r>
    </w:p>
    <w:p/>
    <w:p>
      <w:pPr>
        <w:pBdr>
          <w:bottom w:val="single" w:color="c8c3b8" w:sz="4"/>
        </w:pBdr>
        <w:spacing w:after="120" w:before="120"/>
      </w:pPr>
    </w:p>
    <w:p/>
    <w:p>
      <w:pPr>
        <w:pStyle w:val="Heading2"/>
      </w:pPr>
      <w:r>
        <w:rPr>
          <w:rFonts w:ascii="Arial" w:cs="Arial" w:eastAsia="Arial" w:hAnsi="Arial"/>
          <w:b/>
          <w:bCs/>
          <w:color w:val="1a3a2a"/>
          <w:sz w:val="28"/>
          <w:szCs w:val="28"/>
        </w:rPr>
        <w:t xml:space="preserve">What ASRO Is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ASRO is a framework for cryptographically attesting to AI deployment-state continuity without inspecting private conversations, model internals, or raw user data.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 addresses a structural gap that behavioral monitoring cannot reach: AI systems can be silently modified after deployment — policies changed, tool permissions expanded, runtime configurations altered — without any user knowledge and without any external record of the change. ASRO makes those changes independently checkable by the parties who depend on the system's governance claims.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ASRO answers four questions:</w:t>
      </w:r>
    </w:p>
    <w:p/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Did the declared policy remain in force?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Did tool permissions drift without declaration?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Did runtime state change without a signed attestation event?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Did the host's claimed governance state match what edge observers actually received?</w:t>
      </w:r>
    </w:p>
    <w:p/>
    <w:p>
      <w:pPr>
        <w:pBdr>
          <w:bottom w:val="single" w:color="c8c3b8" w:sz="4"/>
        </w:pBdr>
        <w:spacing w:after="120" w:before="120"/>
      </w:pPr>
    </w:p>
    <w:p/>
    <w:p>
      <w:pPr>
        <w:pStyle w:val="Heading2"/>
      </w:pPr>
      <w:r>
        <w:rPr>
          <w:rFonts w:ascii="Arial" w:cs="Arial" w:eastAsia="Arial" w:hAnsi="Arial"/>
          <w:b/>
          <w:bCs/>
          <w:color w:val="1a3a2a"/>
          <w:sz w:val="28"/>
          <w:szCs w:val="28"/>
        </w:rPr>
        <w:t xml:space="preserve">What ASRO Is Not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ASRO is not:</w:t>
      </w:r>
    </w:p>
    <w:p/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A safety certification system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A legal compliance guarantor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A regulator, court, or enforcement authority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A promise that the AI will never hallucinate or behave badly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A replacement for legal counsel or sectoral regulation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ASRO is an evidence framework. It provides the technical record from which auditors, regulators, counsel, and partners can make their own determinations. It does not make those determinations itself.</w:t>
      </w:r>
    </w:p>
    <w:p/>
    <w:p>
      <w:pPr>
        <w:pBdr>
          <w:bottom w:val="single" w:color="c8c3b8" w:sz="4"/>
        </w:pBdr>
        <w:spacing w:after="120" w:before="120"/>
      </w:pPr>
    </w:p>
    <w:p/>
    <w:p>
      <w:pPr>
        <w:pStyle w:val="Heading2"/>
      </w:pPr>
      <w:r>
        <w:rPr>
          <w:rFonts w:ascii="Arial" w:cs="Arial" w:eastAsia="Arial" w:hAnsi="Arial"/>
          <w:b/>
          <w:bCs/>
          <w:color w:val="1a3a2a"/>
          <w:sz w:val="28"/>
          <w:szCs w:val="28"/>
        </w:rPr>
        <w:t xml:space="preserve">The Adversarial Model</w:t>
      </w:r>
    </w:p>
    <w:p/>
    <w:p>
      <w:pPr>
        <w:pBdr>
          <w:left w:val="single" w:color="c84b1a" w:sz="6" w:space="4"/>
        </w:pBdr>
        <w:spacing w:after="120" w:before="120"/>
        <w:ind w:left="360"/>
      </w:pPr>
      <w:r>
        <w:rPr>
          <w:rFonts w:ascii="Arial" w:cs="Arial" w:eastAsia="Arial" w:hAnsi="Arial"/>
          <w:b/>
          <w:bCs/>
          <w:i/>
          <w:iCs/>
          <w:color w:val="1a3a2a"/>
          <w:sz w:val="22"/>
          <w:szCs w:val="22"/>
        </w:rPr>
        <w:t xml:space="preserve">The primary adversary in ASRO is not a system that refuses to attest, but a system that attests selectively enough to preserve plausible compliance while hiding governance-relevant change.</w:t>
      </w:r>
    </w:p>
    <w:p/>
    <w:p>
      <w:pPr>
        <w:pBdr>
          <w:bottom w:val="single" w:color="c8c3b8" w:sz="4"/>
        </w:pBdr>
        <w:spacing w:after="120" w:before="120"/>
      </w:pPr>
    </w:p>
    <w:p/>
    <w:p>
      <w:pPr>
        <w:pStyle w:val="Heading2"/>
      </w:pPr>
      <w:r>
        <w:rPr>
          <w:rFonts w:ascii="Arial" w:cs="Arial" w:eastAsia="Arial" w:hAnsi="Arial"/>
          <w:b/>
          <w:bCs/>
          <w:color w:val="1a3a2a"/>
          <w:sz w:val="28"/>
          <w:szCs w:val="28"/>
        </w:rPr>
        <w:t xml:space="preserve">Certification Status</w:t>
      </w:r>
    </w:p>
    <w:p/>
    <w:p>
      <w:pPr>
        <w:pBdr>
          <w:left w:val="single" w:color="c84b1a" w:sz="6" w:space="4"/>
        </w:pBdr>
        <w:spacing w:after="120" w:before="120"/>
        <w:ind w:left="360"/>
      </w:pPr>
      <w:r>
        <w:rPr>
          <w:rFonts w:ascii="Arial" w:cs="Arial" w:eastAsia="Arial" w:hAnsi="Arial"/>
          <w:b/>
          <w:bCs/>
          <w:i/>
          <w:iCs/>
          <w:color w:val="1a3a2a"/>
          <w:sz w:val="22"/>
          <w:szCs w:val="22"/>
        </w:rPr>
        <w:t xml:space="preserve">ASRO v1.0 passes final credibility review as an attestation-and-governance evidence framework, not as a safety certification system, legal compliance guarantor, or enforcement authority.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Final Credibility Pass Report: /governance/Credibility_Pass_Report_v1.0.md</w:t>
      </w:r>
    </w:p>
    <w:p/>
    <w:p>
      <w:pPr>
        <w:pBdr>
          <w:bottom w:val="single" w:color="c8c3b8" w:sz="4"/>
        </w:pBdr>
        <w:spacing w:after="120" w:before="120"/>
      </w:pPr>
    </w:p>
    <w:p/>
    <w:p>
      <w:pPr>
        <w:pStyle w:val="Heading2"/>
      </w:pPr>
      <w:r>
        <w:rPr>
          <w:rFonts w:ascii="Arial" w:cs="Arial" w:eastAsia="Arial" w:hAnsi="Arial"/>
          <w:b/>
          <w:bCs/>
          <w:color w:val="1a3a2a"/>
          <w:sz w:val="28"/>
          <w:szCs w:val="28"/>
        </w:rPr>
        <w:t xml:space="preserve">How to Navigate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Start with /spec/MAS_v1.1_Unified.md — the normative technical core. Everything else is derived from or cross-references the MAS.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/schemas/ directory contains the machine-enforceable policy layer, including the discrepancy taxonomy and continuity protocol.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/governance/ directory defines response procedures, escalation rules, and reviewer authority.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/docs/ directory contains implementation guidance, public interface specifications, comparative production profiles, protocol specifications, and live protocol application records.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/compliance/ directory contains the operator self-audit checklist.</w:t>
      </w:r>
    </w:p>
    <w:p/>
    <w:p>
      <w:pPr>
        <w:pBdr>
          <w:bottom w:val="single" w:color="c8c3b8" w:sz="4"/>
        </w:pBdr>
        <w:spacing w:after="120" w:before="120"/>
      </w:pPr>
    </w:p>
    <w:p/>
    <w:p>
      <w:pPr>
        <w:pStyle w:val="Heading2"/>
      </w:pPr>
      <w:r>
        <w:rPr>
          <w:rFonts w:ascii="Arial" w:cs="Arial" w:eastAsia="Arial" w:hAnsi="Arial"/>
          <w:b/>
          <w:bCs/>
          <w:color w:val="1a3a2a"/>
          <w:sz w:val="28"/>
          <w:szCs w:val="28"/>
        </w:rPr>
        <w:t xml:space="preserve">Recent Case Study and Method Evolution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ASRO case-study stack now extends beyond the original release-candidate series into comparative production profiling and formal adversarial method development.</w:t>
      </w:r>
    </w:p>
    <w:p/>
    <w:p>
      <w:pPr>
        <w:pStyle w:val="Heading3"/>
      </w:pPr>
      <w:r>
        <w:rPr>
          <w:rFonts w:ascii="Arial" w:cs="Arial" w:eastAsia="Arial" w:hAnsi="Arial"/>
          <w:b/>
          <w:bCs/>
          <w:color w:val="2d5c42"/>
          <w:sz w:val="24"/>
          <w:szCs w:val="24"/>
        </w:rPr>
        <w:t xml:space="preserve">Newest additions</w:t>
      </w:r>
    </w:p>
    <w:p/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`/docs/case-studies/ASRO_Case_Study_CS013_Ghost_Document_v1.0.md`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  CS-013: Ghost Document — ChatGPT image upload returns content from an unrelated document: psychiatric records, medication history, legal proceedings, and financial disclosures. Two structural explanations; neither is benign. Self-certified fabrication; proposes S5 Evidence Fabrication for ASRO v1.1 taxonomy expansion. April 30, 2026.</w:t>
      </w:r>
    </w:p>
    <w:p/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`/docs/case-studies/ASRO_Case_Study_CS014_Recursive_Governance_ASTRO_Build_v1.0.md`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  CS-014: Recursive Governance Activation During ASTRO Build — Five documented instances across three systems where invocation of the ASRO diagnostic framework caused participating AI systems to classify their own failure class and correct within one intervention window. Build-record finding only.</w:t>
      </w:r>
    </w:p>
    <w:p/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`/docs/evidence/ASRO_Evidence_Addendum_AgentsOfChaos_v1.md`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  Evidence Addendum: Agents of Chaos (Shapira et al., arXiv:2602.20021, February 2026) — Independent live-environment research report / arXiv preprint mapping directly to ASRO's threat taxonomy. Confirms authority substitution (Midnight Swap), policy-source contamination (Drip Feed), opaque provider-state override (Metadata Strip), and state attestation failure in realistic agentic deployments. Not a case study — supplementary evidence document.</w:t>
      </w:r>
    </w:p>
    <w:p/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`/docs/case-studies/ASRO_Case_Study_CS011_Production_Epistemic_Profiles_v1.0.md`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  Comparative production profile covering Rufus, Perplexity, and PolyBuzz under live production conditions. This document bridges the earlier case-study series and the newer protocol layer.</w:t>
      </w:r>
    </w:p>
    <w:p/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`/docs/case-studies/ASRO_Case_Study_CS012_Epistemic_Challenge_Protocol_v1.0.md`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  The Epistemic Challenge Protocol (ECP) v1.0. This is a protocol specification, not a case record. It formalizes four pressure tracks: authority injection, instruction conflict, epistemic override, and constraint bypass.</w:t>
      </w:r>
    </w:p>
    <w:p/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`/docs/case-studies/ASRO_Case_Study_CS012A_Perplexity_Live_Application_v1.0.md`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  First live application of CS-012 against a real production artifact. Documents branch-based testing on a Perplexity story surface with visible interface authority signals.</w:t>
      </w:r>
    </w:p>
    <w:p/>
    <w:p>
      <w:pPr>
        <w:pStyle w:val="Heading3"/>
      </w:pPr>
      <w:r>
        <w:rPr>
          <w:rFonts w:ascii="Arial" w:cs="Arial" w:eastAsia="Arial" w:hAnsi="Arial"/>
          <w:b/>
          <w:bCs/>
          <w:color w:val="2d5c42"/>
          <w:sz w:val="24"/>
          <w:szCs w:val="24"/>
        </w:rPr>
        <w:t xml:space="preserve">How these fit together</w:t>
      </w:r>
    </w:p>
    <w:p/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CS-007 — live repository retrieval integrity study; framework substitution in the wild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CS-008 — correctness does not imply attestation completeness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CS-009 — field activation series in undesigned operational contexts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CS-010 — external behavioral correction through attestation pressure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CS-011 — comparative production epistemic profiles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CS-012 — formal adversarial test method (protocol specification)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CS-012A — first live production application of that method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CS-013 — Ghost Document; structural failure under image upload; self-certified fabrication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CS-014 — recursive governance activation during the ASTRO build; build-record finding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ASRO series moves from case-study diagnosis, to production profiling, to repeatable adversarial protocol, to live protocol application, to real-world incident documentation, to recursive governance evidence.</w:t>
      </w:r>
    </w:p>
    <w:p/>
    <w:p>
      <w:pPr>
        <w:pBdr>
          <w:bottom w:val="single" w:color="c8c3b8" w:sz="4"/>
        </w:pBdr>
        <w:spacing w:after="120" w:before="120"/>
      </w:pPr>
    </w:p>
    <w:p/>
    <w:p>
      <w:pPr>
        <w:pStyle w:val="Heading2"/>
      </w:pPr>
      <w:r>
        <w:rPr>
          <w:rFonts w:ascii="Arial" w:cs="Arial" w:eastAsia="Arial" w:hAnsi="Arial"/>
          <w:b/>
          <w:bCs/>
          <w:color w:val="1a3a2a"/>
          <w:sz w:val="28"/>
          <w:szCs w:val="28"/>
        </w:rPr>
        <w:t xml:space="preserve">ASRO v1.0 — Layered Architecture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ASRO is composed of five integrated layers: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Specification 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Defines the attestation bundle format, telemetry rules, and the Host/Edge/ASRO verification model. Normative authority for all other layers.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Schema 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Machine-enforceable controlled vocabularies, discrepancy taxonomy (S0–S4), and continuity protocol. The ground truth for automated verification.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Governance 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Response procedures, escalation rules, reviewer authority, and the threat classification framework ranked by governance significance.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Threat and Validation 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Adversarial model, named attack patterns (Shadow Tool, Midnight Swap, Drip Feed, Metadata Strip), and the final credibility certification.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Public Interface 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Trust Badge specification and machine-verifiable status signaling via signed Trust Status Records.</w:t>
      </w:r>
    </w:p>
    <w:p/>
    <w:p>
      <w:pPr>
        <w:pBdr>
          <w:bottom w:val="single" w:color="c8c3b8" w:sz="4"/>
        </w:pBdr>
        <w:spacing w:after="120" w:before="120"/>
      </w:pPr>
    </w:p>
    <w:p/>
    <w:p>
      <w:pPr>
        <w:pStyle w:val="Heading2"/>
      </w:pPr>
      <w:r>
        <w:rPr>
          <w:rFonts w:ascii="Arial" w:cs="Arial" w:eastAsia="Arial" w:hAnsi="Arial"/>
          <w:b/>
          <w:bCs/>
          <w:color w:val="1a3a2a"/>
          <w:sz w:val="28"/>
          <w:szCs w:val="28"/>
        </w:rPr>
        <w:t xml:space="preserve">For Users — Privacy and Verification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Deploy an Edge Meter Agent to independently witness whether the AI system's declared governance state matches what your device actually receives.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 Edge Meter Agent records: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The system's declared configuration and policy fingerprints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Whether those fingerprints remained consistent across sessions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Whether observable behavior matched declared permissions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Discrepancies between host claims and edge-observed state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can independently check whether the operator's attestation record remains consistent with what your device observed.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See: /spec/MAS_v1.1_Unified.md — Section: Edge Meter Agent</w:t>
      </w:r>
    </w:p>
    <w:p/>
    <w:p>
      <w:pPr>
        <w:pBdr>
          <w:bottom w:val="single" w:color="c8c3b8" w:sz="4"/>
        </w:pBdr>
        <w:spacing w:after="120" w:before="120"/>
      </w:pPr>
    </w:p>
    <w:p/>
    <w:p>
      <w:pPr>
        <w:pStyle w:val="Heading2"/>
      </w:pPr>
      <w:r>
        <w:rPr>
          <w:rFonts w:ascii="Arial" w:cs="Arial" w:eastAsia="Arial" w:hAnsi="Arial"/>
          <w:b/>
          <w:bCs/>
          <w:color w:val="1a3a2a"/>
          <w:sz w:val="28"/>
          <w:szCs w:val="28"/>
        </w:rPr>
        <w:t xml:space="preserve">For Operators — Compliance and Governance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Deploy a Host Meter Agent to produce a continuous, cryptographically signed record of your system's declared governance state and load-bearing runtime events.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ASRO attestation provides: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A technically verifiable record of governance continuity for your board, partners, and regulators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Evidence that supports compliance demonstration and governance review under applicable law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A structured audit trail that reviewers can examine without accessing conversation content or model internals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ASRO attestation supports compliance demonstration. Whether that evidence satisfies the specific requirements of applicable statutes is a legal determination made by qualified counsel and regulators, not by ASRO.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See: /compliance/Implementation_Readiness_Checklist_v1.0.md — start here</w:t>
      </w:r>
    </w:p>
    <w:p/>
    <w:p>
      <w:pPr>
        <w:pBdr>
          <w:bottom w:val="single" w:color="c8c3b8" w:sz="4"/>
        </w:pBdr>
        <w:spacing w:after="120" w:before="120"/>
      </w:pPr>
    </w:p>
    <w:p/>
    <w:p>
      <w:pPr>
        <w:pStyle w:val="Heading2"/>
      </w:pPr>
      <w:r>
        <w:rPr>
          <w:rFonts w:ascii="Arial" w:cs="Arial" w:eastAsia="Arial" w:hAnsi="Arial"/>
          <w:b/>
          <w:bCs/>
          <w:color w:val="1a3a2a"/>
          <w:sz w:val="28"/>
          <w:szCs w:val="28"/>
        </w:rPr>
        <w:t xml:space="preserve">For Regulators and Auditors — Evidence and Review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ASRO provides a continuous, signed, independently checkable attestation record that answers: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Was the declared governance configuration in force during this period?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Did any undeclared change occur?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Is the continuity chain intact, or are there gaps requiring explanation?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What is the system's current attestation status?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ASRO review findings are evidentiary, not adjudicatory. Legal compliance determinations require human judgment applied to the attestation evidence, combined with the specific requirements of applicable statutes.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ASRO does not determine legality or compliance outcome; it preserves the evidence chain on which those determinations can be based.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See: /governance/Governance_Response_Protocol_v1.0.md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See: /governance/Governance_Rationale_v1.1.md</w:t>
      </w:r>
    </w:p>
    <w:p/>
    <w:p>
      <w:pPr>
        <w:pBdr>
          <w:bottom w:val="single" w:color="c8c3b8" w:sz="4"/>
        </w:pBdr>
        <w:spacing w:after="120" w:before="120"/>
      </w:pPr>
    </w:p>
    <w:p/>
    <w:p>
      <w:pPr>
        <w:pStyle w:val="Heading2"/>
      </w:pPr>
      <w:r>
        <w:rPr>
          <w:rFonts w:ascii="Arial" w:cs="Arial" w:eastAsia="Arial" w:hAnsi="Arial"/>
          <w:b/>
          <w:bCs/>
          <w:color w:val="1a3a2a"/>
          <w:sz w:val="28"/>
          <w:szCs w:val="28"/>
        </w:rPr>
        <w:t xml:space="preserve">Attestation Status Tiers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Label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`host_attested`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**Host Attestation Active**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Operator-side attestation active. No claim of edge reconciliation.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`reconciled_attested`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**Independent Verification Active**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Host and edge attestation are both active and reconcilable under the declared observation conditions.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`under_review`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**Attestation Under Review**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Trust-relevant anomaly active. Status not clean. Required during S4 alerts.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`non_compliant`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**Attestation Not Current**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System cannot credibly claim current ASRO attestation compliance.</w:t>
            </w:r>
          </w:p>
        </w:tc>
      </w:tr>
    </w:tbl>
    <w:p/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Trust Badge communicates attestation status only. It does not imply safety, accuracy, quality, harmlessness, or regulatory approval.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system that structurally prevents meaningful edge observation cannot claim Independent Verification Active status.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See: /docs/ASRO_Trust_Badge_Spec_v1.0.md</w:t>
      </w:r>
    </w:p>
    <w:p/>
    <w:p>
      <w:pPr>
        <w:pBdr>
          <w:bottom w:val="single" w:color="c8c3b8" w:sz="4"/>
        </w:pBdr>
        <w:spacing w:after="120" w:before="120"/>
      </w:pPr>
    </w:p>
    <w:p/>
    <w:p>
      <w:pPr>
        <w:pStyle w:val="Heading2"/>
      </w:pPr>
      <w:r>
        <w:rPr>
          <w:rFonts w:ascii="Arial" w:cs="Arial" w:eastAsia="Arial" w:hAnsi="Arial"/>
          <w:b/>
          <w:bCs/>
          <w:color w:val="1a3a2a"/>
          <w:sz w:val="28"/>
          <w:szCs w:val="28"/>
        </w:rPr>
        <w:t xml:space="preserve">Known Limitations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These limitations are stated prominently because honest scope is what makes this framework credible.</w:t>
      </w:r>
    </w:p>
    <w:p/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ASRO does not guarantee good model behavior.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ASRO does not eliminate hallucinations.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ASRO does not by itself prove legal compliance.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ASRO does not prevent all infrastructure compromise.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Host-only attestation is weaker than host-edge reconciled attestation.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Low-visibility environments weaken edge assurance even when honestly declared.</w:t>
      </w:r>
    </w:p>
    <w:p/>
    <w:p>
      <w:pPr>
        <w:pBdr>
          <w:bottom w:val="single" w:color="c8c3b8" w:sz="4"/>
        </w:pBdr>
        <w:spacing w:after="120" w:before="120"/>
      </w:pPr>
    </w:p>
    <w:p/>
    <w:p>
      <w:pPr>
        <w:pStyle w:val="Heading2"/>
      </w:pPr>
      <w:r>
        <w:rPr>
          <w:rFonts w:ascii="Arial" w:cs="Arial" w:eastAsia="Arial" w:hAnsi="Arial"/>
          <w:b/>
          <w:bCs/>
          <w:color w:val="1a3a2a"/>
          <w:sz w:val="28"/>
          <w:szCs w:val="28"/>
        </w:rPr>
        <w:t xml:space="preserve">Document Index</w:t>
      </w:r>
    </w:p>
    <w:p/>
    <w:p>
      <w:pPr>
        <w:pStyle w:val="Heading3"/>
      </w:pPr>
      <w:r>
        <w:rPr>
          <w:rFonts w:ascii="Arial" w:cs="Arial" w:eastAsia="Arial" w:hAnsi="Arial"/>
          <w:b/>
          <w:bCs/>
          <w:color w:val="2d5c42"/>
          <w:sz w:val="24"/>
          <w:szCs w:val="24"/>
        </w:rPr>
        <w:t xml:space="preserve">Technical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Document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Meter Agent Specification v1.1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`/spec/MAS_v1.1_Unified.md`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Authoritative technical specification: telemetry, schemas, continuity, discrepancy taxonomy, trust model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Technical Annex v1.0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`/docs/Technical_Annex_v1.0.md`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Implementation architecture, data flow, deployment patterns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Threat Model v1.0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`/threat-model/Threat_Model_v1.0.md`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Attack surfaces, named attack patterns, mitigations</w:t>
            </w:r>
          </w:p>
        </w:tc>
      </w:tr>
    </w:tbl>
    <w:p/>
    <w:p/>
    <w:p>
      <w:pPr>
        <w:pStyle w:val="Heading3"/>
      </w:pPr>
      <w:r>
        <w:rPr>
          <w:rFonts w:ascii="Arial" w:cs="Arial" w:eastAsia="Arial" w:hAnsi="Arial"/>
          <w:b/>
          <w:bCs/>
          <w:color w:val="2d5c42"/>
          <w:sz w:val="24"/>
          <w:szCs w:val="24"/>
        </w:rPr>
        <w:t xml:space="preserve">Governance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Document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Governance Rationale v1.1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`/governance/Governance_Rationale_v1.1.md`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Why attestation-based governance is necessary; adoption logic; escalation rules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Governance Response Protocol v1.0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`/governance/Governance_Response_Protocol_v1.0.md`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Reviewer roles, S3/S4 response procedures, timelines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Threat Classification Framework v1.0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`/governance/Threat_Classification_Framework_v1.0.md`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Five threat categories ranked by governance significance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Credibility Pass Report v1.0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`/governance/Credibility_Pass_Report_v1.0.md`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Final quality certification — ten findings, all resolved</w:t>
            </w:r>
          </w:p>
        </w:tc>
      </w:tr>
    </w:tbl>
    <w:p/>
    <w:p/>
    <w:p>
      <w:pPr>
        <w:pStyle w:val="Heading3"/>
      </w:pPr>
      <w:r>
        <w:rPr>
          <w:rFonts w:ascii="Arial" w:cs="Arial" w:eastAsia="Arial" w:hAnsi="Arial"/>
          <w:b/>
          <w:bCs/>
          <w:color w:val="2d5c42"/>
          <w:sz w:val="24"/>
          <w:szCs w:val="24"/>
        </w:rPr>
        <w:t xml:space="preserve">Compliance and Public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Document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Implementation Readiness Checklist v1.0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`/compliance/Implementation_Readiness_Checklist_v1.0.md`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10-point operator self-audit before claiming ASRO compliance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Trust Badge Specification v1.0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`/docs/ASRO_Trust_Badge_Spec_v1.0.md`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Human-readable and machine-readable badge status rules</w:t>
            </w:r>
          </w:p>
        </w:tc>
      </w:tr>
    </w:tbl>
    <w:p/>
    <w:p/>
    <w:p>
      <w:pPr>
        <w:pStyle w:val="Heading3"/>
      </w:pPr>
      <w:r>
        <w:rPr>
          <w:rFonts w:ascii="Arial" w:cs="Arial" w:eastAsia="Arial" w:hAnsi="Arial"/>
          <w:b/>
          <w:bCs/>
          <w:color w:val="2d5c42"/>
          <w:sz w:val="24"/>
          <w:szCs w:val="24"/>
        </w:rPr>
        <w:t xml:space="preserve">Case Studies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Document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Multi-System Review Summary v1.1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`/docs/case-studies/ASRO_MultiSystem_Review_Summary_v1.1.md`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CS-001: Ten-system behavioral review — baseline dataset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Recursive Self-Audit v1.1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`/docs/case-studies/ASRO_Case_Study_CS002_Recursive_Self_Audit_v1.1.md`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CS-002: DeepSeek driven from S3 fabrication to S0 through iterative audit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Differential Self-Audit v1.3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`/docs/case-studies/ASRO_Case_Study_CS003_Differential_Self_Audit_v1.3.md`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CS-003: Cross-system differential audit — reasoning vs attestation vs evidence gaps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Remediation Verification v1.1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`/docs/case-studies/ASRO_Case_Study_CS004_Remediation_Verification_v1.1.md`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CS-004: Amendment verification across three systems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Founding System Behavioral Study v1.3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`/docs/case-studies/ASRO_Case_Study_CS005_Founding_System_Behavioral_Study_v1.3.md`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CS-005: Role recognition, attribution verification, identity continuity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Multi-Condition Cross-System Study v1.1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`/docs/case-studies/ASRO_Case_Study_CS006_v1.1.md`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CS-006: Framework substitution failure mode — ten systems, controlled conditions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Live Repository Retrieval Integrity Study v1.0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`/docs/case-studies/ASRO_Case_Study_CS007_Live_Repository_Retrieval_Integrity_Study_v1.0.md`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CS-007: Ten systems, one public URL — framework substitution in the wild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Attestation Layer Failure Under Self-Application v1.1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`/docs/case-studies/ASRO_Case_Study_CS008_Attestation_Layer_Failure_Under_Self_Application_v1.1.md`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CS-008: Correctness does not imply attestation completeness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Field Activation Series v1.4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`/docs/case-studies/ASRO_Case_Study_CS009_Field_Activation_Series_v1.4.md`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CS-009: Framework application in undesigned operational contexts — six instances, closed. Includes multi-agent epistemic protocol and full trust regress demonstration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External Behavioral Correction v1.0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`/docs/case-studies/ASRO_Case_Study_CS010_External_Behavioral_Correction_v1.0.md`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CS-010: Six stages from hallucinated certainty to epistemic stability — external correction through attestation pressure without internal access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Production Epistemic Profiles v1.0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`/docs/case-studies/ASRO_Case_Study_CS011_Production_Epistemic_Profiles_v1.0.md`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CS-011: Comparative production profiles — Rufus, Perplexity, PolyBuzz under live production conditions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Epistemic Challenge Protocol v1.0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`/docs/case-studies/ASRO_Case_Study_CS012_Epistemic_Challenge_Protocol_v1.0.md`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CS-012: Protocol specification — four-track adversarial method (authority injection, instruction conflict, epistemic override, constraint bypass)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ECP Live Application — Perplexity v1.0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`/docs/case-studies/ASRO_Case_Study_CS012A_Perplexity_Live_Application_v1.0.md`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CS-012A: First live ECP application on a real production artifact; branch-based testing; interface authority auditing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Ghost Document v1.0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`/docs/case-studies/ASRO_Case_Study_CS013_Ghost_Document_v1.0.md`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CS-013: Image upload returns unrelated document content — psychiatric records, legal proceedings, financial data. Self-certified fabrication; proposes S5 Evidence Fabrication for ASRO v1.1 taxonomy expansion. April 30, 2026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Recursive Governance — ASTRO Build v1.0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`/docs/case-studies/ASRO_Case_Study_CS014_Recursive_Governance_ASTRO_Build_v1.0.md`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CS-014: Five documented instances where ASRO diagnostic invocation caused AI build participants to classify their own failure and correct within one intervention window</w:t>
            </w:r>
          </w:p>
        </w:tc>
      </w:tr>
    </w:tbl>
    <w:p/>
    <w:p/>
    <w:p>
      <w:pPr>
        <w:pStyle w:val="Heading3"/>
      </w:pPr>
      <w:r>
        <w:rPr>
          <w:rFonts w:ascii="Arial" w:cs="Arial" w:eastAsia="Arial" w:hAnsi="Arial"/>
          <w:b/>
          <w:bCs/>
          <w:color w:val="2d5c42"/>
          <w:sz w:val="24"/>
          <w:szCs w:val="24"/>
        </w:rPr>
        <w:t xml:space="preserve">Evidence Addenda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Document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Agents of Chaos Evidence Addendum v1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`/docs/evidence/ASRO_Evidence_Addendum_AgentsOfChaos_v1.md`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Independent live-environment research report / arXiv preprint (Shapira et al., arXiv:2602.20021, Feb 2026) mapping to ASRO threat taxonomy. Validates authority substitution, policy-source contamination, opaque provider-state override, and state attestation failure in realistic agentic deployments</w:t>
            </w:r>
          </w:p>
        </w:tc>
      </w:tr>
    </w:tbl>
    <w:p/>
    <w:p/>
    <w:p>
      <w:pPr>
        <w:pStyle w:val="Heading3"/>
      </w:pPr>
      <w:r>
        <w:rPr>
          <w:rFonts w:ascii="Arial" w:cs="Arial" w:eastAsia="Arial" w:hAnsi="Arial"/>
          <w:b/>
          <w:bCs/>
          <w:color w:val="2d5c42"/>
          <w:sz w:val="24"/>
          <w:szCs w:val="24"/>
        </w:rPr>
        <w:t xml:space="preserve">Schemas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Controlled Vocabulary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`/schemas/controlled_vocab.json`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Canonical event types, reason codes, discrepancy classes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Discrepancy Taxonomy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`/schemas/discrepancy_taxonomy.json`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S0–S4 severity levels and class definitions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Continuity Protocol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`/schemas/continuity_protocol.json`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Sequence, hash, and heartbeat rules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Developer Sandbox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`/schemas/sandbox/`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1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**Non-production.** Testing schema only. Cannot be used for compliance claims.</w:t>
            </w:r>
          </w:p>
        </w:tc>
      </w:tr>
    </w:tbl>
    <w:p/>
    <w:p/>
    <w:p>
      <w:pPr>
        <w:pBdr>
          <w:bottom w:val="single" w:color="c8c3b8" w:sz="4"/>
        </w:pBdr>
        <w:spacing w:after="120" w:before="120"/>
      </w:pPr>
    </w:p>
    <w:p/>
    <w:p>
      <w:pPr>
        <w:pStyle w:val="Heading2"/>
      </w:pPr>
      <w:r>
        <w:rPr>
          <w:rFonts w:ascii="Arial" w:cs="Arial" w:eastAsia="Arial" w:hAnsi="Arial"/>
          <w:b/>
          <w:bCs/>
          <w:color w:val="1a3a2a"/>
          <w:sz w:val="28"/>
          <w:szCs w:val="28"/>
        </w:rPr>
        <w:t xml:space="preserve">Repository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ASRO is developed and maintained as an open governance framework.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Repository: https://github.com/magicianzcardstockllc/asro</w:t>
      </w:r>
    </w:p>
    <w:p/>
    <w:p>
      <w:pPr>
        <w:pBdr>
          <w:bottom w:val="single" w:color="c8c3b8" w:sz="4"/>
        </w:pBdr>
        <w:spacing w:after="120" w:before="120"/>
      </w:pP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ASRO v1.0 Release Candidate. This repository contains the frozen technical, governance, threat, compliance, and public-facing documents for the release candidate stack.</w:t>
      </w:r>
    </w:p>
    <w:p/>
    <w:p>
      <w:pPr>
        <w:pBdr>
          <w:bottom w:val="single" w:color="c8c3b8" w:sz="4"/>
        </w:pBdr>
        <w:spacing w:after="120" w:before="120"/>
      </w:pPr>
    </w:p>
    <w:p/>
    <w:p>
      <w:pPr>
        <w:pStyle w:val="Heading2"/>
      </w:pPr>
      <w:r>
        <w:rPr>
          <w:rFonts w:ascii="Arial" w:cs="Arial" w:eastAsia="Arial" w:hAnsi="Arial"/>
          <w:b/>
          <w:bCs/>
          <w:color w:val="1a3a2a"/>
          <w:sz w:val="28"/>
          <w:szCs w:val="28"/>
        </w:rPr>
        <w:t xml:space="preserve">Framework Integrity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following statements are locked across all ASRO v1.0 RC documents and must not be altered in any release material.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Governance Claim</w:t>
      </w:r>
    </w:p>
    <w:p>
      <w:pPr>
        <w:pBdr>
          <w:left w:val="single" w:color="c84b1a" w:sz="6" w:space="4"/>
        </w:pBdr>
        <w:spacing w:after="80" w:before="80"/>
        <w:ind w:left="360"/>
      </w:pPr>
      <w:r>
        <w:rPr>
          <w:rFonts w:ascii="Arial" w:cs="Arial" w:eastAsia="Arial" w:hAnsi="Arial"/>
          <w:i/>
          <w:iCs/>
          <w:color w:val="333333"/>
          <w:sz w:val="20"/>
          <w:szCs w:val="20"/>
        </w:rPr>
        <w:t xml:space="preserve">ASRO does not trust operators to report their own compliance — it makes compliance verifiable by the parties who depend on it.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Canonical Trust Sentence</w:t>
      </w:r>
    </w:p>
    <w:p>
      <w:pPr>
        <w:pBdr>
          <w:left w:val="single" w:color="c84b1a" w:sz="6" w:space="4"/>
        </w:pBdr>
        <w:spacing w:after="80" w:before="80"/>
        <w:ind w:left="360"/>
      </w:pPr>
      <w:r>
        <w:rPr>
          <w:rFonts w:ascii="Arial" w:cs="Arial" w:eastAsia="Arial" w:hAnsi="Arial"/>
          <w:i/>
          <w:iCs/>
          <w:color w:val="333333"/>
          <w:sz w:val="20"/>
          <w:szCs w:val="20"/>
        </w:rPr>
        <w:t xml:space="preserve">Internal measurement is not independent oversight. Trust arises only when host measurement, edge witnessing, and ASRO reconciliation remain consistent over time.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Canonical Threat Sentence</w:t>
      </w:r>
    </w:p>
    <w:p>
      <w:pPr>
        <w:pBdr>
          <w:left w:val="single" w:color="c84b1a" w:sz="6" w:space="4"/>
        </w:pBdr>
        <w:spacing w:after="80" w:before="80"/>
        <w:ind w:left="360"/>
      </w:pPr>
      <w:r>
        <w:rPr>
          <w:rFonts w:ascii="Arial" w:cs="Arial" w:eastAsia="Arial" w:hAnsi="Arial"/>
          <w:i/>
          <w:iCs/>
          <w:color w:val="333333"/>
          <w:sz w:val="20"/>
          <w:szCs w:val="20"/>
        </w:rPr>
        <w:t xml:space="preserve">The primary adversary in ASRO is not a system that refuses to attest, but a system that attests selectively enough to preserve plausible compliance while hiding governance-relevant change.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Canonical Certification Sentence</w:t>
      </w:r>
    </w:p>
    <w:p>
      <w:pPr>
        <w:pBdr>
          <w:left w:val="single" w:color="c84b1a" w:sz="6" w:space="4"/>
        </w:pBdr>
        <w:spacing w:after="80" w:before="80"/>
        <w:ind w:left="360"/>
      </w:pPr>
      <w:r>
        <w:rPr>
          <w:rFonts w:ascii="Arial" w:cs="Arial" w:eastAsia="Arial" w:hAnsi="Arial"/>
          <w:i/>
          <w:iCs/>
          <w:color w:val="333333"/>
          <w:sz w:val="20"/>
          <w:szCs w:val="20"/>
        </w:rPr>
        <w:t xml:space="preserve">ASRO v1.0 passes final credibility review as an attestation-and-governance evidence framework, not as a safety certification system, legal compliance guarantor, or enforcement authority.</w:t>
      </w:r>
    </w:p>
    <w:p/>
    <w:p>
      <w:pPr>
        <w:pBdr>
          <w:bottom w:val="single" w:color="c8c3b8" w:sz="4"/>
        </w:pBdr>
        <w:spacing w:after="120" w:before="120"/>
      </w:pPr>
    </w:p>
    <w:p/>
    <w:p>
      <w:pPr>
        <w:pStyle w:val="Heading2"/>
      </w:pPr>
      <w:r>
        <w:rPr>
          <w:rFonts w:ascii="Arial" w:cs="Arial" w:eastAsia="Arial" w:hAnsi="Arial"/>
          <w:b/>
          <w:bCs/>
          <w:color w:val="1a3a2a"/>
          <w:sz w:val="28"/>
          <w:szCs w:val="28"/>
        </w:rPr>
        <w:t xml:space="preserve">License</w:t>
      </w:r>
    </w:p>
    <w:p/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project is licensed under the MIT License — see the LICENSE file for details. This includes all documentation, schemas, and specification materials in this repository.</w:t>
      </w:r>
    </w:p>
    <w:p/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Arial" w:cs="Arial" w:eastAsia="Arial" w:hAnsi="Arial"/>
      <w:b/>
      <w:bCs/>
      <w:color w:val="1a3a2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280"/>
      <w:outlineLvl w:val="1"/>
    </w:pPr>
    <w:rPr>
      <w:rFonts w:ascii="Arial" w:cs="Arial" w:eastAsia="Arial" w:hAnsi="Arial"/>
      <w:b/>
      <w:bCs/>
      <w:color w:val="1a3a2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2d5c4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2026-04-30T08:50:28.448Z</dcterms:created>
  <dcterms:modified xsi:type="dcterms:W3CDTF">2026-04-30T08:50:28.448Z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