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2"/>
          <w:szCs w:val="52"/>
        </w:rPr>
        <w:t xml:space="preserve">ASRO</w:t>
      </w:r>
    </w:p>
    <w:p>
      <w:pPr>
        <w:spacing w:after="80"/>
      </w:pPr>
      <w:r>
        <w:rPr>
          <w:rFonts w:ascii="Arial" w:cs="Arial" w:eastAsia="Arial" w:hAnsi="Arial"/>
          <w:color w:val="2E75B6"/>
          <w:sz w:val="28"/>
          <w:szCs w:val="28"/>
        </w:rPr>
        <w:t xml:space="preserve">AI Systems Reliability Operator</w:t>
      </w:r>
    </w:p>
    <w:p>
      <w:pPr>
        <w:spacing w:after="80"/>
      </w:pPr>
      <w:r>
        <w:rPr>
          <w:rFonts w:ascii="Arial" w:cs="Arial" w:eastAsia="Arial" w:hAnsi="Arial"/>
          <w:b/>
          <w:bCs/>
          <w:sz w:val="28"/>
          <w:szCs w:val="28"/>
        </w:rPr>
        <w:t xml:space="preserve">Privacy &amp; Legal Stress Memo</w:t>
      </w:r>
    </w:p>
    <w:p>
      <w:pPr>
        <w:spacing w:after="120"/>
      </w:pPr>
      <w:r>
        <w:rPr>
          <w:rFonts w:ascii="Arial" w:cs="Arial" w:eastAsia="Arial" w:hAnsi="Arial"/>
          <w:i/>
          <w:iCs/>
          <w:color w:val="666666"/>
          <w:sz w:val="24"/>
          <w:szCs w:val="24"/>
        </w:rPr>
        <w:t xml:space="preserve">Version 1.0 | March 2026 | Companion to ASRO v1 Attestation Bundle Specification</w:t>
      </w:r>
    </w:p>
    <w:p>
      <w:pPr>
        <w:pBdr>
          <w:bottom w:val="single" w:color="2E75B6" w:sz="6" w:space="1"/>
        </w:pBdr>
        <w:spacing w:after="160"/>
      </w:pPr>
      <w:r>
        <w:t xml:space="preserve"/>
      </w:r>
    </w:p>
    <w:p>
      <w:pPr>
        <w:pStyle w:val="Heading1"/>
      </w:pPr>
      <w:r>
        <w:rPr>
          <w:rFonts w:ascii="Arial" w:cs="Arial" w:eastAsia="Arial" w:hAnsi="Arial"/>
        </w:rPr>
        <w:t xml:space="preserve">Purpose</w:t>
      </w:r>
    </w:p>
    <w:p>
      <w:pPr>
        <w:spacing w:after="120"/>
      </w:pPr>
      <w:r>
        <w:rPr>
          <w:rFonts w:ascii="Arial" w:cs="Arial" w:eastAsia="Arial" w:hAnsi="Arial"/>
          <w:sz w:val="24"/>
          <w:szCs w:val="24"/>
        </w:rPr>
        <w:t xml:space="preserve">This memo evaluates ASRO v1 against two distinct questions:</w:t>
      </w:r>
    </w:p>
    <w:p>
      <w:pPr>
        <w:pStyle w:val="ListParagraph"/>
        <w:numPr>
          <w:ilvl w:val="0"/>
          <w:numId w:val="2"/>
        </w:numPr>
        <w:spacing w:after="80"/>
      </w:pPr>
      <w:r>
        <w:rPr>
          <w:rFonts w:ascii="Arial" w:cs="Arial" w:eastAsia="Arial" w:hAnsi="Arial"/>
          <w:sz w:val="24"/>
          <w:szCs w:val="24"/>
        </w:rPr>
        <w:t xml:space="preserve">Does the attestation bundle design expose user data, proprietary system internals, or individually identifiable information, even indirectly?</w:t>
      </w:r>
    </w:p>
    <w:p>
      <w:pPr>
        <w:pStyle w:val="ListParagraph"/>
        <w:numPr>
          <w:ilvl w:val="0"/>
          <w:numId w:val="2"/>
        </w:numPr>
        <w:spacing w:after="80"/>
      </w:pPr>
      <w:r>
        <w:rPr>
          <w:rFonts w:ascii="Arial" w:cs="Arial" w:eastAsia="Arial" w:hAnsi="Arial"/>
          <w:sz w:val="24"/>
          <w:szCs w:val="24"/>
        </w:rPr>
        <w:t xml:space="preserve">Do ASRO's verifiability claims hold under adversarial legal scrutiny — can a participating organization use ASRO to defend against negligence, misrepresentation, or failure-to-disclose claims?</w:t>
      </w:r>
    </w:p>
    <w:p>
      <w:pPr>
        <w:spacing w:after="120"/>
      </w:pPr>
      <w:r>
        <w:t xml:space="preserve"/>
      </w:r>
    </w:p>
    <w:p>
      <w:pPr>
        <w:spacing w:after="120"/>
      </w:pPr>
      <w:r>
        <w:rPr>
          <w:rFonts w:ascii="Arial" w:cs="Arial" w:eastAsia="Arial" w:hAnsi="Arial"/>
          <w:sz w:val="24"/>
          <w:szCs w:val="24"/>
        </w:rPr>
        <w:t xml:space="preserve">These are not rhetorical questions. Both will be tested by regulators, opposing counsel, and institutional reviewers. This memo answers them before they are asked.</w:t>
      </w:r>
    </w:p>
    <w:p>
      <w:pPr>
        <w:spacing w:after="120"/>
      </w:pPr>
      <w:r>
        <w:t xml:space="preserve"/>
      </w:r>
    </w:p>
    <w:p>
      <w:pPr>
        <w:pStyle w:val="Heading1"/>
      </w:pPr>
      <w:r>
        <w:rPr>
          <w:rFonts w:ascii="Arial" w:cs="Arial" w:eastAsia="Arial" w:hAnsi="Arial"/>
        </w:rPr>
        <w:t xml:space="preserve">Part 1: Privacy Exposure Analysis</w:t>
      </w:r>
    </w:p>
    <w:p>
      <w:pPr>
        <w:spacing w:after="120"/>
      </w:pPr>
      <w:r>
        <w:rPr>
          <w:rFonts w:ascii="Arial" w:cs="Arial" w:eastAsia="Arial" w:hAnsi="Arial"/>
          <w:sz w:val="24"/>
          <w:szCs w:val="24"/>
        </w:rPr>
        <w:t xml:space="preserve">ASRO v1 handles no user content, no prompts, and no model weights. The privacy analysis focuses on indirect exposure risks — cases where bundle fields could leak sensitive information through inference, aggregation, or content error.</w:t>
      </w:r>
    </w:p>
    <w:p>
      <w:pPr>
        <w:pStyle w:val="Heading2"/>
      </w:pPr>
      <w:r>
        <w:rPr>
          <w:rFonts w:ascii="Arial" w:cs="Arial" w:eastAsia="Arial" w:hAnsi="Arial"/>
        </w:rPr>
        <w:t xml:space="preserve">Field-Level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bundle_id, timestamp_utc, system_id, operator_id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Zero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Pure metadata. No PII, no content, no inference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previous_bundle_hash, bundle_hash, signature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Zero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Cryptographic primitives. One-way. No reconstruction possible.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event_class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Zero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Categorical label from closed taxonomy.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state_fingerprint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One-way hash only. Derived from model/config state, never from logs or user artifacts. SHA-3 or BLAKE3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policy_version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Version identifier. Mitigate timing attack via non-sequential versioning.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change_summary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privacy risk. Human-readable. Requires 500-char cap, PII scanning, operator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impact_metrics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Must be system-level only, aggregated over ≥10,000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integrity_assertion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Structured sub-object with enumerated fields. No user data should appear here.</w:t>
            </w:r>
          </w:p>
        </w:tc>
      </w:tr>
    </w:tbl>
    <w:p>
      <w:pPr>
        <w:spacing w:after="120"/>
      </w:pPr>
      <w:r>
        <w:t xml:space="preserve"/>
      </w:r>
    </w:p>
    <w:p>
      <w:pPr>
        <w:pStyle w:val="Heading2"/>
      </w:pPr>
      <w:r>
        <w:rPr>
          <w:rFonts w:ascii="Arial" w:cs="Arial" w:eastAsia="Arial" w:hAnsi="Arial"/>
        </w:rPr>
        <w:t xml:space="preserve">Privacy Claim Defensibility</w:t>
      </w:r>
    </w:p>
    <w:p>
      <w:pPr>
        <w:spacing w:after="120"/>
      </w:pPr>
      <w:r>
        <w:rPr>
          <w:rFonts w:ascii="Arial" w:cs="Arial" w:eastAsia="Arial" w:hAnsi="Arial"/>
          <w:sz w:val="24"/>
          <w:szCs w:val="24"/>
        </w:rPr>
        <w:t xml:space="preserve">ASRO's core privacy claim must be stated accurately:</w:t>
      </w:r>
    </w:p>
    <w:p>
      <w:pPr>
        <w:spacing w:after="120"/>
      </w:pPr>
      <w:r>
        <w:t xml:space="preserve"/>
      </w:r>
    </w:p>
    <w:p>
      <w:pPr>
        <w:spacing w:after="120"/>
      </w:pPr>
      <w:r>
        <w:rPr>
          <w:rFonts w:ascii="Arial" w:cs="Arial" w:eastAsia="Arial" w:hAnsi="Arial"/>
          <w:i/>
          <w:iCs/>
          <w:sz w:val="24"/>
          <w:szCs w:val="24"/>
        </w:rPr>
        <w:t xml:space="preserve">"ASRO v1 is designed to receive no user data. The attestation bundle format prohibits user-identifying content. The change_summary field is the sole field where operator compliance is required to maintain this property, and ASRO enforces content controls at ingestion."</w:t>
      </w:r>
    </w:p>
    <w:p>
      <w:pPr>
        <w:spacing w:after="120"/>
      </w:pPr>
      <w:r>
        <w:t xml:space="preserve"/>
      </w:r>
    </w:p>
    <w:p>
      <w:pPr>
        <w:spacing w:after="120"/>
      </w:pPr>
      <w:r>
        <w:rPr>
          <w:rFonts w:ascii="Arial" w:cs="Arial" w:eastAsia="Arial" w:hAnsi="Arial"/>
          <w:sz w:val="24"/>
          <w:szCs w:val="24"/>
        </w:rPr>
        <w:t xml:space="preserve">The simpler formulation "ASRO never receives user data" is accurate in design intent but overstated as an absolute guarantee. The accurate formulation above is defensible.</w:t>
      </w:r>
    </w:p>
    <w:p>
      <w:pPr>
        <w:pStyle w:val="Heading2"/>
      </w:pPr>
      <w:r>
        <w:rPr>
          <w:rFonts w:ascii="Arial" w:cs="Arial" w:eastAsia="Arial" w:hAnsi="Arial"/>
        </w:rPr>
        <w:t xml:space="preserve">change_summary Required Controls</w:t>
      </w:r>
    </w:p>
    <w:p>
      <w:pPr>
        <w:pStyle w:val="ListParagraph"/>
        <w:numPr>
          <w:ilvl w:val="0"/>
          <w:numId w:val="2"/>
        </w:numPr>
        <w:spacing w:after="80"/>
      </w:pPr>
      <w:r>
        <w:rPr>
          <w:rFonts w:ascii="Arial" w:cs="Arial" w:eastAsia="Arial" w:hAnsi="Arial"/>
          <w:sz w:val="24"/>
          <w:szCs w:val="24"/>
        </w:rPr>
        <w:t xml:space="preserve">Maximum 500 characters</w:t>
      </w:r>
    </w:p>
    <w:p>
      <w:pPr>
        <w:pStyle w:val="ListParagraph"/>
        <w:numPr>
          <w:ilvl w:val="0"/>
          <w:numId w:val="2"/>
        </w:numPr>
        <w:spacing w:after="80"/>
      </w:pPr>
      <w:r>
        <w:rPr>
          <w:rFonts w:ascii="Arial" w:cs="Arial" w:eastAsia="Arial" w:hAnsi="Arial"/>
          <w:sz w:val="24"/>
          <w:szCs w:val="24"/>
        </w:rPr>
        <w:t xml:space="preserve">PII scanning at ingestion: blocklist for email addresses, user identifiers, prompt fragments</w:t>
      </w:r>
    </w:p>
    <w:p>
      <w:pPr>
        <w:pStyle w:val="ListParagraph"/>
        <w:numPr>
          <w:ilvl w:val="0"/>
          <w:numId w:val="2"/>
        </w:numPr>
        <w:spacing w:after="80"/>
      </w:pPr>
      <w:r>
        <w:rPr>
          <w:rFonts w:ascii="Arial" w:cs="Arial" w:eastAsia="Arial" w:hAnsi="Arial"/>
          <w:sz w:val="24"/>
          <w:szCs w:val="24"/>
        </w:rPr>
        <w:t xml:space="preserve">Published operator guidance with acceptable and unacceptable examples</w:t>
      </w:r>
    </w:p>
    <w:p>
      <w:pPr>
        <w:pStyle w:val="ListParagraph"/>
        <w:numPr>
          <w:ilvl w:val="0"/>
          <w:numId w:val="2"/>
        </w:numPr>
        <w:spacing w:after="80"/>
      </w:pPr>
      <w:r>
        <w:rPr>
          <w:rFonts w:ascii="Arial" w:cs="Arial" w:eastAsia="Arial" w:hAnsi="Arial"/>
          <w:sz w:val="24"/>
          <w:szCs w:val="24"/>
        </w:rPr>
        <w:t xml:space="preserve">Rejected bundles logged internally with violation reason (not published publicly)</w:t>
      </w:r>
    </w:p>
    <w:p>
      <w:pPr>
        <w:spacing w:after="120"/>
      </w:pPr>
      <w:r>
        <w:t xml:space="preserve"/>
      </w:r>
    </w:p>
    <w:p>
      <w:pPr>
        <w:spacing w:after="120"/>
      </w:pPr>
      <w:r>
        <w:rPr>
          <w:rFonts w:ascii="Arial" w:cs="Arial" w:eastAsia="Arial" w:hAnsi="Arial"/>
          <w:b/>
          <w:bCs/>
          <w:sz w:val="24"/>
          <w:szCs w:val="24"/>
        </w:rPr>
        <w:t xml:space="preserve">✓ Acceptable: </w:t>
      </w:r>
      <w:r>
        <w:rPr>
          <w:rFonts w:ascii="Arial" w:cs="Arial" w:eastAsia="Arial" w:hAnsi="Arial"/>
          <w:sz w:val="24"/>
          <w:szCs w:val="24"/>
        </w:rPr>
        <w:t xml:space="preserve">"Updated refusal threshold for self-harm category from 0.82 to 0.91"</w:t>
      </w:r>
    </w:p>
    <w:p>
      <w:pPr>
        <w:spacing w:after="120"/>
      </w:pPr>
      <w:r>
        <w:rPr>
          <w:rFonts w:ascii="Arial" w:cs="Arial" w:eastAsia="Arial" w:hAnsi="Arial"/>
          <w:b/>
          <w:bCs/>
          <w:sz w:val="24"/>
          <w:szCs w:val="24"/>
        </w:rPr>
        <w:t xml:space="preserve">✗ Unacceptable: </w:t>
      </w:r>
      <w:r>
        <w:rPr>
          <w:rFonts w:ascii="Arial" w:cs="Arial" w:eastAsia="Arial" w:hAnsi="Arial"/>
          <w:sz w:val="24"/>
          <w:szCs w:val="24"/>
        </w:rPr>
        <w:t xml:space="preserve">"Updated threshold after user reports of false positives on accounts X, Y, Z"</w:t>
      </w:r>
    </w:p>
    <w:p>
      <w:pPr>
        <w:spacing w:after="120"/>
      </w:pPr>
      <w:r>
        <w:t xml:space="preserve"/>
      </w:r>
    </w:p>
    <w:p>
      <w:pPr>
        <w:pStyle w:val="Heading1"/>
      </w:pPr>
      <w:r>
        <w:rPr>
          <w:rFonts w:ascii="Arial" w:cs="Arial" w:eastAsia="Arial" w:hAnsi="Arial"/>
        </w:rPr>
        <w:t xml:space="preserve">Part 2: Legal Stress Test</w:t>
      </w:r>
    </w:p>
    <w:p>
      <w:pPr>
        <w:pStyle w:val="Heading2"/>
      </w:pPr>
      <w:r>
        <w:rPr>
          <w:rFonts w:ascii="Arial" w:cs="Arial" w:eastAsia="Arial" w:hAnsi="Arial"/>
        </w:rPr>
        <w:t xml:space="preserve">Q: How do you know the company logged every required event?</w:t>
      </w:r>
    </w:p>
    <w:p>
      <w:pPr>
        <w:spacing w:after="120"/>
      </w:pPr>
      <w:r>
        <w:rPr>
          <w:rFonts w:ascii="Arial" w:cs="Arial" w:eastAsia="Arial" w:hAnsi="Arial"/>
          <w:sz w:val="24"/>
          <w:szCs w:val="24"/>
        </w:rPr>
        <w:t xml:space="preserve">ASRO's honest answer: We don't, and we don't claim to. ASRO proves that submitted records are cryptographically intact. Whether all qualifying events were submitted requires independent audit of the operator's internal change logs against the public ledger.</w:t>
      </w:r>
    </w:p>
    <w:p>
      <w:pPr>
        <w:spacing w:after="120"/>
      </w:pPr>
      <w:r>
        <w:rPr>
          <w:rFonts w:ascii="Arial" w:cs="Arial" w:eastAsia="Arial" w:hAnsi="Arial"/>
          <w:sz w:val="24"/>
          <w:szCs w:val="24"/>
        </w:rPr>
        <w:t xml:space="preserve">Legal defensibility: Medium-High. Shifts burden: an operator cannot credibly claim an event was logged if the ledger shows no corresponding entry and auditors find no internal record.</w:t>
      </w:r>
    </w:p>
    <w:p>
      <w:pPr>
        <w:pStyle w:val="Heading2"/>
      </w:pPr>
      <w:r>
        <w:rPr>
          <w:rFonts w:ascii="Arial" w:cs="Arial" w:eastAsia="Arial" w:hAnsi="Arial"/>
        </w:rPr>
        <w:t xml:space="preserve">Q: Couldn't a company classify a safety policy change as a routine configuration change?</w:t>
      </w:r>
    </w:p>
    <w:p>
      <w:pPr>
        <w:spacing w:after="120"/>
      </w:pPr>
      <w:r>
        <w:rPr>
          <w:rFonts w:ascii="Arial" w:cs="Arial" w:eastAsia="Arial" w:hAnsi="Arial"/>
          <w:sz w:val="24"/>
          <w:szCs w:val="24"/>
        </w:rPr>
        <w:t xml:space="preserve">ASRO's honest answer: Yes. ASRO's detection mechanism is cross-system behavioral anomaly flagging. If impact_metrics remain optional, this rating drops to Medium for operators who do not provide metrics — the strongest argument for making impact_metrics required.</w:t>
      </w:r>
    </w:p>
    <w:p>
      <w:pPr>
        <w:spacing w:after="120"/>
      </w:pPr>
      <w:r>
        <w:rPr>
          <w:rFonts w:ascii="Arial" w:cs="Arial" w:eastAsia="Arial" w:hAnsi="Arial"/>
          <w:sz w:val="24"/>
          <w:szCs w:val="24"/>
        </w:rPr>
        <w:t xml:space="preserve">Legal defensibility: High (with impact_metrics required).</w:t>
      </w:r>
    </w:p>
    <w:p>
      <w:pPr>
        <w:pStyle w:val="Heading2"/>
      </w:pPr>
      <w:r>
        <w:rPr>
          <w:rFonts w:ascii="Arial" w:cs="Arial" w:eastAsia="Arial" w:hAnsi="Arial"/>
        </w:rPr>
        <w:t xml:space="preserve">Q: What prevents retroactive log construction?</w:t>
      </w:r>
    </w:p>
    <w:p>
      <w:pPr>
        <w:spacing w:after="120"/>
      </w:pPr>
      <w:r>
        <w:rPr>
          <w:rFonts w:ascii="Arial" w:cs="Arial" w:eastAsia="Arial" w:hAnsi="Arial"/>
          <w:sz w:val="24"/>
          <w:szCs w:val="24"/>
        </w:rPr>
        <w:t xml:space="preserve">ASRO's honest answer: Daily Merkle root anchoring to external public timestamp services. The within-day window (up to 24 hours) is the residual gap. Hourly anchoring closes this gap further.</w:t>
      </w:r>
    </w:p>
    <w:p>
      <w:pPr>
        <w:spacing w:after="120"/>
      </w:pPr>
      <w:r>
        <w:rPr>
          <w:rFonts w:ascii="Arial" w:cs="Arial" w:eastAsia="Arial" w:hAnsi="Arial"/>
          <w:sz w:val="24"/>
          <w:szCs w:val="24"/>
        </w:rPr>
        <w:t xml:space="preserve">Legal defensibility: High. Merkle root predates any litigation.</w:t>
      </w:r>
    </w:p>
    <w:p>
      <w:pPr>
        <w:pStyle w:val="Heading2"/>
      </w:pPr>
      <w:r>
        <w:rPr>
          <w:rFonts w:ascii="Arial" w:cs="Arial" w:eastAsia="Arial" w:hAnsi="Arial"/>
        </w:rPr>
        <w:t xml:space="preserve">Q: What if multiple companies agreed not to log a specific category?</w:t>
      </w:r>
    </w:p>
    <w:p>
      <w:pPr>
        <w:spacing w:after="120"/>
      </w:pPr>
      <w:r>
        <w:rPr>
          <w:rFonts w:ascii="Arial" w:cs="Arial" w:eastAsia="Arial" w:hAnsi="Arial"/>
          <w:sz w:val="24"/>
          <w:szCs w:val="24"/>
        </w:rPr>
        <w:t xml:space="preserve">ASRO's honest answer: Coordinated omission is undetectable by ASRO alone. Structural mitigation is external: ASRO participation as a regulatory or procurement condition makes omission a documented compliance failure.</w:t>
      </w:r>
    </w:p>
    <w:p>
      <w:pPr>
        <w:spacing w:after="120"/>
      </w:pPr>
      <w:r>
        <w:rPr>
          <w:rFonts w:ascii="Arial" w:cs="Arial" w:eastAsia="Arial" w:hAnsi="Arial"/>
          <w:sz w:val="24"/>
          <w:szCs w:val="24"/>
        </w:rPr>
        <w:t xml:space="preserve">Legal defensibility: Medium-High. ASRO is one layer of an accountability system, not the entire system.</w:t>
      </w:r>
    </w:p>
    <w:p>
      <w:pPr>
        <w:spacing w:after="120"/>
      </w:pPr>
      <w:r>
        <w:t xml:space="preserve"/>
      </w:r>
    </w:p>
    <w:p>
      <w:pPr>
        <w:pStyle w:val="Heading1"/>
      </w:pPr>
      <w:r>
        <w:rPr>
          <w:rFonts w:ascii="Arial" w:cs="Arial" w:eastAsia="Arial" w:hAnsi="Arial"/>
        </w:rPr>
        <w:t xml:space="preserve">Part 3: Regulatory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ASRO v1 Coverage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GDPR Art 5(1)(b)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Bundle design prohibits collection beyond integrity verification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in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GDPR Art 5(1)(c)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Collects minimum fields for tamper-evidence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impact_metrics granularity must be defined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CCPA §1798.100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personal information collected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NIST AI RMF 2.1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Supports transparency and documentation sub-function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Map taxonomy to NIST risk categories in companion 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EU AI Act High-Risk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Consistent with Article 12 record-keeping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EMERGENCY_OVERRIDE should reference Article 62 incident language</w:t>
            </w:r>
          </w:p>
        </w:tc>
      </w:tr>
    </w:tbl>
    <w:p>
      <w:pPr>
        <w:spacing w:after="120"/>
      </w:pPr>
      <w:r>
        <w:t xml:space="preserve"/>
      </w:r>
    </w:p>
    <w:p>
      <w:pPr>
        <w:pStyle w:val="Heading1"/>
      </w:pPr>
      <w:r>
        <w:rPr>
          <w:rFonts w:ascii="Arial" w:cs="Arial" w:eastAsia="Arial" w:hAnsi="Arial"/>
        </w:rPr>
        <w:t xml:space="preserve">Part 4: Residual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change_summary PII leak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Content scanning + 500-char cap. Required pre-v1.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state_fingerprint hash collision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SHA-3 or BLAKE3. Do not allow SHA-256.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impact_metrics reidentification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Minimum 10,000-request aggregation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Coordinated omission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 (with mandate)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Regulatory/procurement requirement; taxonomy versioning.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ASRO governance capture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 (with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Hard representation limits; independence spin-out trigger.</w:t>
            </w:r>
          </w:p>
        </w:tc>
      </w:tr>
    </w:tbl>
    <w:p>
      <w:pPr>
        <w:spacing w:after="120"/>
      </w:pPr>
      <w:r>
        <w:t xml:space="preserve"/>
      </w:r>
    </w:p>
    <w:p>
      <w:pPr>
        <w:pStyle w:val="Heading1"/>
      </w:pPr>
      <w:r>
        <w:rPr>
          <w:rFonts w:ascii="Arial" w:cs="Arial" w:eastAsia="Arial" w:hAnsi="Arial"/>
        </w:rPr>
        <w:t xml:space="preserve">Part 5: Actionable Requirements</w:t>
      </w:r>
    </w:p>
    <w:p>
      <w:pPr>
        <w:pStyle w:val="Heading2"/>
      </w:pPr>
      <w:r>
        <w:rPr>
          <w:rFonts w:ascii="Arial" w:cs="Arial" w:eastAsia="Arial" w:hAnsi="Arial"/>
        </w:rPr>
        <w:t xml:space="preserve">Required before v1 external submission:</w:t>
      </w:r>
    </w:p>
    <w:p>
      <w:pPr>
        <w:pStyle w:val="ListParagraph"/>
        <w:numPr>
          <w:ilvl w:val="0"/>
          <w:numId w:val="2"/>
        </w:numPr>
        <w:spacing w:after="80"/>
      </w:pPr>
      <w:r>
        <w:rPr>
          <w:rFonts w:ascii="Arial" w:cs="Arial" w:eastAsia="Arial" w:hAnsi="Arial"/>
          <w:sz w:val="24"/>
          <w:szCs w:val="24"/>
        </w:rPr>
        <w:t xml:space="preserve">Define change_summary content controls in the spec (500-char cap, prohibited content categories)</w:t>
      </w:r>
    </w:p>
    <w:p>
      <w:pPr>
        <w:pStyle w:val="ListParagraph"/>
        <w:numPr>
          <w:ilvl w:val="0"/>
          <w:numId w:val="2"/>
        </w:numPr>
        <w:spacing w:after="80"/>
      </w:pPr>
      <w:r>
        <w:rPr>
          <w:rFonts w:ascii="Arial" w:cs="Arial" w:eastAsia="Arial" w:hAnsi="Arial"/>
          <w:sz w:val="24"/>
          <w:szCs w:val="24"/>
        </w:rPr>
        <w:t xml:space="preserve">Specify hash algorithm requirements (SHA-3 or BLAKE3; not SHA-256)</w:t>
      </w:r>
    </w:p>
    <w:p>
      <w:pPr>
        <w:pStyle w:val="ListParagraph"/>
        <w:numPr>
          <w:ilvl w:val="0"/>
          <w:numId w:val="2"/>
        </w:numPr>
        <w:spacing w:after="80"/>
      </w:pPr>
      <w:r>
        <w:rPr>
          <w:rFonts w:ascii="Arial" w:cs="Arial" w:eastAsia="Arial" w:hAnsi="Arial"/>
          <w:sz w:val="24"/>
          <w:szCs w:val="24"/>
        </w:rPr>
        <w:t xml:space="preserve">Define minimum aggregation threshold for impact_metrics (≥10,000 requests)</w:t>
      </w:r>
    </w:p>
    <w:p>
      <w:pPr>
        <w:pStyle w:val="ListParagraph"/>
        <w:numPr>
          <w:ilvl w:val="0"/>
          <w:numId w:val="2"/>
        </w:numPr>
        <w:spacing w:after="80"/>
      </w:pPr>
      <w:r>
        <w:rPr>
          <w:rFonts w:ascii="Arial" w:cs="Arial" w:eastAsia="Arial" w:hAnsi="Arial"/>
          <w:sz w:val="24"/>
          <w:szCs w:val="24"/>
        </w:rPr>
        <w:t xml:space="preserve">State privacy claim accurately: "designed to receive no user data" not "never receives user data"</w:t>
      </w:r>
    </w:p>
    <w:p>
      <w:pPr>
        <w:pStyle w:val="Heading2"/>
      </w:pPr>
      <w:r>
        <w:rPr>
          <w:rFonts w:ascii="Arial" w:cs="Arial" w:eastAsia="Arial" w:hAnsi="Arial"/>
        </w:rPr>
        <w:t xml:space="preserve">Required in v1.1:</w:t>
      </w:r>
    </w:p>
    <w:p>
      <w:pPr>
        <w:pStyle w:val="ListParagraph"/>
        <w:numPr>
          <w:ilvl w:val="0"/>
          <w:numId w:val="2"/>
        </w:numPr>
        <w:spacing w:after="80"/>
      </w:pPr>
      <w:r>
        <w:rPr>
          <w:rFonts w:ascii="Arial" w:cs="Arial" w:eastAsia="Arial" w:hAnsi="Arial"/>
          <w:sz w:val="24"/>
          <w:szCs w:val="24"/>
        </w:rPr>
        <w:t xml:space="preserve">Hourly Merkle anchoring (closes within-day window)</w:t>
      </w:r>
    </w:p>
    <w:p>
      <w:pPr>
        <w:pStyle w:val="ListParagraph"/>
        <w:numPr>
          <w:ilvl w:val="0"/>
          <w:numId w:val="2"/>
        </w:numPr>
        <w:spacing w:after="80"/>
      </w:pPr>
      <w:r>
        <w:rPr>
          <w:rFonts w:ascii="Arial" w:cs="Arial" w:eastAsia="Arial" w:hAnsi="Arial"/>
          <w:sz w:val="24"/>
          <w:szCs w:val="24"/>
        </w:rPr>
        <w:t xml:space="preserve">Formal NIST AI RMF mapping note</w:t>
      </w:r>
    </w:p>
    <w:p>
      <w:pPr>
        <w:pStyle w:val="ListParagraph"/>
        <w:numPr>
          <w:ilvl w:val="0"/>
          <w:numId w:val="2"/>
        </w:numPr>
        <w:spacing w:after="80"/>
      </w:pPr>
      <w:r>
        <w:rPr>
          <w:rFonts w:ascii="Arial" w:cs="Arial" w:eastAsia="Arial" w:hAnsi="Arial"/>
          <w:sz w:val="24"/>
          <w:szCs w:val="24"/>
        </w:rPr>
        <w:t xml:space="preserve">EU AI Act Article 62 alignment for EMERGENCY_OVERRIDE</w:t>
      </w:r>
    </w:p>
    <w:p>
      <w:pPr>
        <w:pStyle w:val="Heading2"/>
      </w:pPr>
      <w:r>
        <w:rPr>
          <w:rFonts w:ascii="Arial" w:cs="Arial" w:eastAsia="Arial" w:hAnsi="Arial"/>
        </w:rPr>
        <w:t xml:space="preserve">Governance requirements:</w:t>
      </w:r>
    </w:p>
    <w:p>
      <w:pPr>
        <w:pStyle w:val="ListParagraph"/>
        <w:numPr>
          <w:ilvl w:val="0"/>
          <w:numId w:val="2"/>
        </w:numPr>
        <w:spacing w:after="80"/>
      </w:pPr>
      <w:r>
        <w:rPr>
          <w:rFonts w:ascii="Arial" w:cs="Arial" w:eastAsia="Arial" w:hAnsi="Arial"/>
          <w:sz w:val="24"/>
          <w:szCs w:val="24"/>
        </w:rPr>
        <w:t xml:space="preserve">Privacy review function on ASRO governing board (advisory, non-voting)</w:t>
      </w:r>
    </w:p>
    <w:p>
      <w:pPr>
        <w:pStyle w:val="ListParagraph"/>
        <w:numPr>
          <w:ilvl w:val="0"/>
          <w:numId w:val="2"/>
        </w:numPr>
        <w:spacing w:after="80"/>
      </w:pPr>
      <w:r>
        <w:rPr>
          <w:rFonts w:ascii="Arial" w:cs="Arial" w:eastAsia="Arial" w:hAnsi="Arial"/>
          <w:sz w:val="24"/>
          <w:szCs w:val="24"/>
        </w:rPr>
        <w:t xml:space="preserve">Annual third-party privacy audit</w:t>
      </w:r>
    </w:p>
    <w:p>
      <w:pPr>
        <w:pStyle w:val="ListParagraph"/>
        <w:numPr>
          <w:ilvl w:val="0"/>
          <w:numId w:val="2"/>
        </w:numPr>
        <w:spacing w:after="80"/>
      </w:pPr>
      <w:r>
        <w:rPr>
          <w:rFonts w:ascii="Arial" w:cs="Arial" w:eastAsia="Arial" w:hAnsi="Arial"/>
          <w:sz w:val="24"/>
          <w:szCs w:val="24"/>
        </w:rPr>
        <w:t xml:space="preserve">Published incident response procedure for privacy violations in submitted bundles</w:t>
      </w:r>
    </w:p>
    <w:p>
      <w:pPr>
        <w:pBdr>
          <w:bottom w:val="single" w:color="2E75B6" w:sz="6" w:space="1"/>
        </w:pBdr>
        <w:spacing w:after="160"/>
      </w:pPr>
      <w:r>
        <w:t xml:space="preserve"/>
      </w:r>
    </w:p>
    <w:p>
      <w:pPr>
        <w:spacing w:after="120"/>
      </w:pPr>
      <w:r>
        <w:rPr>
          <w:rFonts w:ascii="Arial" w:cs="Arial" w:eastAsia="Arial" w:hAnsi="Arial"/>
          <w:i/>
          <w:iCs/>
          <w:color w:val="666666"/>
          <w:sz w:val="24"/>
          <w:szCs w:val="24"/>
        </w:rPr>
        <w:t xml:space="preserve">ASRO Privacy &amp; Legal Stress Memo v1.0 | james@michigrid.org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2026-04-01T15:27:22.674Z</dcterms:created>
  <dcterms:modified xsi:type="dcterms:W3CDTF">2026-04-01T15:27:22.674Z</dcterms:modified>
</cp:coreProperties>
</file>

<file path=docProps/custom.xml><?xml version="1.0" encoding="utf-8"?>
<Properties xmlns="http://schemas.openxmlformats.org/officeDocument/2006/custom-properties" xmlns:vt="http://schemas.openxmlformats.org/officeDocument/2006/docPropsVTypes"/>
</file>