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rFonts w:ascii="Arial" w:cs="Arial" w:eastAsia="Arial" w:hAnsi="Arial"/>
        </w:rPr>
        <w:t xml:space="preserve">ASRO v1.0 Release Candidate</w:t>
      </w:r>
    </w:p>
    <w:p>
      <w:pPr>
        <w:pStyle w:val="Heading2"/>
      </w:pPr>
      <w:r>
        <w:rPr>
          <w:rFonts w:ascii="Arial" w:cs="Arial" w:eastAsia="Arial" w:hAnsi="Arial"/>
        </w:rPr>
        <w:t xml:space="preserve">Attestation and System Reliability Operator — AI Governance Evidence Framework</w:t>
      </w:r>
    </w:p>
    <w:p>
      <w:pPr>
        <w:spacing w:after="60"/>
      </w:pPr>
    </w:p>
    <w:p>
      <w:p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Contact:</w:t>
      </w:r>
      <w:r>
        <w:rPr>
          <w:rFonts w:ascii="Arial" w:cs="Arial" w:eastAsia="Arial" w:hAnsi="Arial"/>
          <w:sz w:val="22"/>
          <w:szCs w:val="22"/>
        </w:rPr>
        <w:t xml:space="preserve"> james@michigrid.org</w:t>
      </w:r>
    </w:p>
    <w:p>
      <w:p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Repository:</w:t>
      </w:r>
      <w:r>
        <w:rPr>
          <w:rFonts w:ascii="Arial" w:cs="Arial" w:eastAsia="Arial" w:hAnsi="Arial"/>
          <w:sz w:val="22"/>
          <w:szCs w:val="22"/>
        </w:rPr>
        <w:t xml:space="preserve"> [https://github.com/magicianzcardstockllc/asro](https://github.com/magicianzcardstockllc/asro)</w:t>
      </w:r>
    </w:p>
    <w:p>
      <w:pPr>
        <w:spacing w:after="60"/>
      </w:pPr>
    </w:p>
    <w:p>
      <w:pPr>
        <w:pBdr>
          <w:bottom w:val="single" w:color="CCCCCC" w:sz="4" w:space="2"/>
        </w:pBdr>
        <w:spacing w:after="120" w:before="120"/>
      </w:pPr>
    </w:p>
    <w:p>
      <w:pPr>
        <w:spacing w:after="60"/>
      </w:pPr>
    </w:p>
    <w:p>
      <w:pPr>
        <w:pBdr>
          <w:left w:val="single" w:color="1F4E79" w:sz="12" w:space="8"/>
        </w:pBdr>
        <w:spacing w:after="120" w:before="120"/>
        <w:ind w:left="720"/>
      </w:pPr>
      <w:r>
        <w:rPr>
          <w:rFonts w:ascii="Arial" w:cs="Arial" w:eastAsia="Arial" w:hAnsi="Arial"/>
          <w:sz w:val="22"/>
          <w:szCs w:val="22"/>
        </w:rPr>
        <w:t xml:space="preserve">ASRO does not trust operators to report their own compliance — it makes compliance verifiable by the parties who depend on it.</w:t>
      </w:r>
    </w:p>
    <w:p>
      <w:pPr>
        <w:spacing w:after="60"/>
      </w:pPr>
    </w:p>
    <w:p>
      <w:pPr>
        <w:pBdr>
          <w:left w:val="single" w:color="1F4E79" w:sz="12" w:space="8"/>
        </w:pBdr>
        <w:spacing w:after="120" w:before="120"/>
        <w:ind w:left="720"/>
      </w:pPr>
      <w:r>
        <w:rPr>
          <w:rFonts w:ascii="Arial" w:cs="Arial" w:eastAsia="Arial" w:hAnsi="Arial"/>
          <w:sz w:val="22"/>
          <w:szCs w:val="22"/>
        </w:rPr>
        <w:t xml:space="preserve">Internal measurement is not independent oversight. Trust arises only when host measurement, edge witnessing, and ASRO reconciliation remain consistent over time.</w:t>
      </w:r>
    </w:p>
    <w:p>
      <w:pPr>
        <w:spacing w:after="60"/>
      </w:pPr>
    </w:p>
    <w:p>
      <w:pPr>
        <w:pBdr>
          <w:bottom w:val="single" w:color="CCCCCC" w:sz="4" w:space="2"/>
        </w:pBdr>
        <w:spacing w:after="120" w:before="120"/>
      </w:pPr>
    </w:p>
    <w:p>
      <w:pPr>
        <w:spacing w:after="60"/>
      </w:pP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ASRO is a cryptographic attestation framework for verifying AI deployment-state continuity. It makes governance claims independently checkable without requiring access to conversation content, model internals, or user data.</w:t>
      </w:r>
    </w:p>
    <w:p>
      <w:pPr>
        <w:spacing w:after="60"/>
      </w:pPr>
    </w:p>
    <w:p>
      <w:pPr>
        <w:spacing w:after="120"/>
      </w:pPr>
      <w:r>
        <w:rPr>
          <w:rFonts w:ascii="Arial" w:cs="Arial" w:eastAsia="Arial" w:hAnsi="Arial"/>
          <w:i/>
          <w:iCs/>
          <w:sz w:val="22"/>
          <w:szCs w:val="22"/>
        </w:rPr>
        <w:t xml:space="preserve">ASRO was developed by James Aull, founder of Michigrid, a cooperative energy infrastructure platform in formation under Michigan law, through the same multi-system AI coordination process that produced the framework itself.</w:t>
      </w:r>
    </w:p>
    <w:p>
      <w:pPr>
        <w:spacing w:after="60"/>
      </w:pPr>
    </w:p>
    <w:p>
      <w:pPr>
        <w:pBdr>
          <w:bottom w:val="single" w:color="CCCCCC" w:sz="4" w:space="2"/>
        </w:pBdr>
        <w:spacing w:after="120" w:before="120"/>
      </w:pPr>
    </w:p>
    <w:p>
      <w:pPr>
        <w:spacing w:after="60"/>
      </w:pPr>
    </w:p>
    <w:p>
      <w:pPr>
        <w:pStyle w:val="Heading2"/>
      </w:pPr>
      <w:r>
        <w:rPr>
          <w:rFonts w:ascii="Arial" w:cs="Arial" w:eastAsia="Arial" w:hAnsi="Arial"/>
        </w:rPr>
        <w:t xml:space="preserve">Why ASRO Exists</w:t>
      </w:r>
    </w:p>
    <w:p>
      <w:pPr>
        <w:spacing w:after="60"/>
      </w:pP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Modern AI systems are non-deterministic and continuously updated. Retroactive auditing through replay is not viable: the same prompt at a different time or system state will not produce the same output. The only defensible verification point is the moment of change.</w:t>
      </w:r>
    </w:p>
    <w:p>
      <w:pPr>
        <w:spacing w:after="60"/>
      </w:pP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This framework originated from a direct operational observation. As the operator of a community-facing AI chatbot, the author had full backend access — the ability to read logged conversations, identify patterns, and alter system behavior in ways users had no mechanism to detect. This is not a theoretical vulnerability. It is a structural feature of how AI systems are architected at every scale. The mechanism does not change with scale. Only the impact does.</w:t>
      </w:r>
    </w:p>
    <w:p>
      <w:pPr>
        <w:spacing w:after="60"/>
      </w:pP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ASRO provides the maximum verifiability technically achievable in this environment: cryptographic proof that a qualifying change was classified, signed, chained, and recorded when it occurred.</w:t>
      </w:r>
    </w:p>
    <w:p>
      <w:pPr>
        <w:spacing w:after="60"/>
      </w:pPr>
    </w:p>
    <w:p>
      <w:pPr>
        <w:pBdr>
          <w:bottom w:val="single" w:color="CCCCCC" w:sz="4" w:space="2"/>
        </w:pBdr>
        <w:spacing w:after="120" w:before="120"/>
      </w:pPr>
    </w:p>
    <w:p>
      <w:pPr>
        <w:spacing w:after="60"/>
      </w:pPr>
    </w:p>
    <w:p>
      <w:pPr>
        <w:pStyle w:val="Heading2"/>
      </w:pPr>
      <w:r>
        <w:rPr>
          <w:rFonts w:ascii="Arial" w:cs="Arial" w:eastAsia="Arial" w:hAnsi="Arial"/>
        </w:rPr>
        <w:t xml:space="preserve">What ASRO Is</w:t>
      </w:r>
    </w:p>
    <w:p>
      <w:pPr>
        <w:spacing w:after="60"/>
      </w:pP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ASRO is a framework for cryptographically attesting to AI deployment-state continuity without inspecting private conversations, model internals, or raw user data.</w:t>
      </w:r>
    </w:p>
    <w:p>
      <w:pPr>
        <w:spacing w:after="60"/>
      </w:pP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It addresses a structural gap that behavioral monitoring cannot reach: AI systems can be silently modified after deployment — policies changed, tool permissions expanded, runtime configurations altered — without any user knowledge and without any external record of the change. ASRO makes those changes independently checkable by the parties who depend on the system's governance claims.</w:t>
      </w:r>
    </w:p>
    <w:p>
      <w:pPr>
        <w:spacing w:after="60"/>
      </w:pP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ASRO answers four questions:</w:t>
      </w:r>
    </w:p>
    <w:p>
      <w:pPr>
        <w:spacing w:after="60"/>
      </w:pP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Did the declared policy remain in force?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Did tool permissions drift without declaration?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Did runtime state change without a signed attestation event?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Did the host's claimed governance state match what edge observers actually received?</w:t>
      </w:r>
    </w:p>
    <w:p>
      <w:pPr>
        <w:spacing w:after="60"/>
      </w:pPr>
    </w:p>
    <w:p>
      <w:pPr>
        <w:pBdr>
          <w:bottom w:val="single" w:color="CCCCCC" w:sz="4" w:space="2"/>
        </w:pBdr>
        <w:spacing w:after="120" w:before="120"/>
      </w:pPr>
    </w:p>
    <w:p>
      <w:pPr>
        <w:spacing w:after="60"/>
      </w:pPr>
    </w:p>
    <w:p>
      <w:pPr>
        <w:pStyle w:val="Heading2"/>
      </w:pPr>
      <w:r>
        <w:rPr>
          <w:rFonts w:ascii="Arial" w:cs="Arial" w:eastAsia="Arial" w:hAnsi="Arial"/>
        </w:rPr>
        <w:t xml:space="preserve">What ASRO Is Not</w:t>
      </w:r>
    </w:p>
    <w:p>
      <w:pPr>
        <w:spacing w:after="60"/>
      </w:pP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ASRO is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not</w:t>
      </w:r>
      <w:r>
        <w:rPr>
          <w:rFonts w:ascii="Arial" w:cs="Arial" w:eastAsia="Arial" w:hAnsi="Arial"/>
          <w:sz w:val="22"/>
          <w:szCs w:val="22"/>
        </w:rPr>
        <w:t xml:space="preserve">:</w:t>
      </w:r>
    </w:p>
    <w:p>
      <w:pPr>
        <w:spacing w:after="60"/>
      </w:pP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A safety certification system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A legal compliance guarantor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A regulator, court, or enforcement authority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A promise that the AI will never hallucinate or behave badly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A replacement for legal counsel or sectoral regulation</w:t>
      </w:r>
    </w:p>
    <w:p>
      <w:pPr>
        <w:spacing w:after="60"/>
      </w:pP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ASRO is an evidence framework.</w:t>
      </w:r>
      <w:r>
        <w:rPr>
          <w:rFonts w:ascii="Arial" w:cs="Arial" w:eastAsia="Arial" w:hAnsi="Arial"/>
          <w:sz w:val="22"/>
          <w:szCs w:val="22"/>
        </w:rPr>
        <w:t xml:space="preserve"> It provides the technical record from which auditors, regulators, counsel, and partners can make their own determinations. It does not make those determinations itself.</w:t>
      </w:r>
    </w:p>
    <w:p>
      <w:pPr>
        <w:spacing w:after="60"/>
      </w:pPr>
    </w:p>
    <w:p>
      <w:pPr>
        <w:pBdr>
          <w:bottom w:val="single" w:color="CCCCCC" w:sz="4" w:space="2"/>
        </w:pBdr>
        <w:spacing w:after="120" w:before="120"/>
      </w:pPr>
    </w:p>
    <w:p>
      <w:pPr>
        <w:spacing w:after="60"/>
      </w:pPr>
    </w:p>
    <w:p>
      <w:pPr>
        <w:pStyle w:val="Heading2"/>
      </w:pPr>
      <w:r>
        <w:rPr>
          <w:rFonts w:ascii="Arial" w:cs="Arial" w:eastAsia="Arial" w:hAnsi="Arial"/>
        </w:rPr>
        <w:t xml:space="preserve">The Adversarial Model</w:t>
      </w:r>
    </w:p>
    <w:p>
      <w:pPr>
        <w:spacing w:after="60"/>
      </w:pPr>
    </w:p>
    <w:p>
      <w:pPr>
        <w:pBdr>
          <w:left w:val="single" w:color="1F4E79" w:sz="12" w:space="8"/>
        </w:pBdr>
        <w:spacing w:after="120" w:before="120"/>
        <w:ind w:left="720"/>
      </w:pPr>
      <w:r>
        <w:rPr>
          <w:rFonts w:ascii="Arial" w:cs="Arial" w:eastAsia="Arial" w:hAnsi="Arial"/>
          <w:sz w:val="22"/>
          <w:szCs w:val="22"/>
        </w:rPr>
        <w:t xml:space="preserve">The primary adversary in ASRO is not a system that refuses to attest, but a system that attests selectively enough to preserve plausible compliance while hiding governance-relevant change.</w:t>
      </w:r>
    </w:p>
    <w:p>
      <w:pPr>
        <w:spacing w:after="60"/>
      </w:pPr>
    </w:p>
    <w:p>
      <w:pPr>
        <w:pBdr>
          <w:bottom w:val="single" w:color="CCCCCC" w:sz="4" w:space="2"/>
        </w:pBdr>
        <w:spacing w:after="120" w:before="120"/>
      </w:pPr>
    </w:p>
    <w:p>
      <w:pPr>
        <w:spacing w:after="60"/>
      </w:pPr>
    </w:p>
    <w:p>
      <w:pPr>
        <w:pStyle w:val="Heading2"/>
      </w:pPr>
      <w:r>
        <w:rPr>
          <w:rFonts w:ascii="Arial" w:cs="Arial" w:eastAsia="Arial" w:hAnsi="Arial"/>
        </w:rPr>
        <w:t xml:space="preserve">Certification Status</w:t>
      </w:r>
    </w:p>
    <w:p>
      <w:pPr>
        <w:spacing w:after="60"/>
      </w:pPr>
    </w:p>
    <w:p>
      <w:pPr>
        <w:pBdr>
          <w:left w:val="single" w:color="1F4E79" w:sz="12" w:space="8"/>
        </w:pBdr>
        <w:spacing w:after="120" w:before="120"/>
        <w:ind w:left="720"/>
      </w:pPr>
      <w:r>
        <w:rPr>
          <w:rFonts w:ascii="Arial" w:cs="Arial" w:eastAsia="Arial" w:hAnsi="Arial"/>
          <w:sz w:val="22"/>
          <w:szCs w:val="22"/>
        </w:rPr>
        <w:t xml:space="preserve">ASRO v1.0 passes final credibility review as an attestation-and-governance evidence framework, not as a safety certification system, legal compliance guarantor, or enforcement authority.</w:t>
      </w:r>
    </w:p>
    <w:p>
      <w:pPr>
        <w:spacing w:after="60"/>
      </w:pPr>
    </w:p>
    <w:p>
      <w:pPr>
        <w:spacing w:after="120"/>
      </w:pPr>
      <w:r>
        <w:rPr>
          <w:rFonts w:ascii="Arial" w:cs="Arial" w:eastAsia="Arial" w:hAnsi="Arial"/>
          <w:i/>
          <w:iCs/>
          <w:sz w:val="22"/>
          <w:szCs w:val="22"/>
        </w:rPr>
        <w:t xml:space="preserve">Final Credibility Pass Report: `/governance/Credibility_Pass_Report_v1.0.md`</w:t>
      </w:r>
    </w:p>
    <w:p>
      <w:pPr>
        <w:spacing w:after="60"/>
      </w:pPr>
    </w:p>
    <w:p>
      <w:pPr>
        <w:pBdr>
          <w:bottom w:val="single" w:color="CCCCCC" w:sz="4" w:space="2"/>
        </w:pBdr>
        <w:spacing w:after="120" w:before="120"/>
      </w:pPr>
    </w:p>
    <w:p>
      <w:pPr>
        <w:spacing w:after="60"/>
      </w:pPr>
    </w:p>
    <w:p>
      <w:pPr>
        <w:pStyle w:val="Heading2"/>
      </w:pPr>
      <w:r>
        <w:rPr>
          <w:rFonts w:ascii="Arial" w:cs="Arial" w:eastAsia="Arial" w:hAnsi="Arial"/>
        </w:rPr>
        <w:t xml:space="preserve">How to Navigate</w:t>
      </w:r>
    </w:p>
    <w:p>
      <w:pPr>
        <w:spacing w:after="60"/>
      </w:pP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Start with </w:t>
      </w:r>
      <w:r>
        <w:rPr>
          <w:rFonts w:ascii="Courier New" w:cs="Courier New" w:eastAsia="Courier New" w:hAnsi="Courier New"/>
          <w:color w:val="C7254E"/>
          <w:sz w:val="20"/>
          <w:szCs w:val="20"/>
        </w:rPr>
        <w:t xml:space="preserve">/spec/MAS_v1.1_Unified.md</w:t>
      </w:r>
      <w:r>
        <w:rPr>
          <w:rFonts w:ascii="Arial" w:cs="Arial" w:eastAsia="Arial" w:hAnsi="Arial"/>
          <w:sz w:val="22"/>
          <w:szCs w:val="22"/>
        </w:rPr>
        <w:t xml:space="preserve"> — the normative technical core. Everything else is derived from or cross-references the MAS.</w:t>
      </w:r>
    </w:p>
    <w:p>
      <w:pPr>
        <w:spacing w:after="60"/>
      </w:pP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The </w:t>
      </w:r>
      <w:r>
        <w:rPr>
          <w:rFonts w:ascii="Courier New" w:cs="Courier New" w:eastAsia="Courier New" w:hAnsi="Courier New"/>
          <w:color w:val="C7254E"/>
          <w:sz w:val="20"/>
          <w:szCs w:val="20"/>
        </w:rPr>
        <w:t xml:space="preserve">/schemas/</w:t>
      </w:r>
      <w:r>
        <w:rPr>
          <w:rFonts w:ascii="Arial" w:cs="Arial" w:eastAsia="Arial" w:hAnsi="Arial"/>
          <w:sz w:val="22"/>
          <w:szCs w:val="22"/>
        </w:rPr>
        <w:t xml:space="preserve"> directory contains the machine-enforceable policy layer, including the discrepancy taxonomy and continuity protocol.</w:t>
      </w:r>
    </w:p>
    <w:p>
      <w:pPr>
        <w:spacing w:after="60"/>
      </w:pP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The </w:t>
      </w:r>
      <w:r>
        <w:rPr>
          <w:rFonts w:ascii="Courier New" w:cs="Courier New" w:eastAsia="Courier New" w:hAnsi="Courier New"/>
          <w:color w:val="C7254E"/>
          <w:sz w:val="20"/>
          <w:szCs w:val="20"/>
        </w:rPr>
        <w:t xml:space="preserve">/governance/</w:t>
      </w:r>
      <w:r>
        <w:rPr>
          <w:rFonts w:ascii="Arial" w:cs="Arial" w:eastAsia="Arial" w:hAnsi="Arial"/>
          <w:sz w:val="22"/>
          <w:szCs w:val="22"/>
        </w:rPr>
        <w:t xml:space="preserve"> directory defines response procedures, escalation rules, and reviewer authority.</w:t>
      </w:r>
    </w:p>
    <w:p>
      <w:pPr>
        <w:spacing w:after="60"/>
      </w:pP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The </w:t>
      </w:r>
      <w:r>
        <w:rPr>
          <w:rFonts w:ascii="Courier New" w:cs="Courier New" w:eastAsia="Courier New" w:hAnsi="Courier New"/>
          <w:color w:val="C7254E"/>
          <w:sz w:val="20"/>
          <w:szCs w:val="20"/>
        </w:rPr>
        <w:t xml:space="preserve">/docs/</w:t>
      </w:r>
      <w:r>
        <w:rPr>
          <w:rFonts w:ascii="Arial" w:cs="Arial" w:eastAsia="Arial" w:hAnsi="Arial"/>
          <w:sz w:val="22"/>
          <w:szCs w:val="22"/>
        </w:rPr>
        <w:t xml:space="preserve"> directory contains implementation guidance and public interface specifications.</w:t>
      </w:r>
    </w:p>
    <w:p>
      <w:pPr>
        <w:spacing w:after="60"/>
      </w:pP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The </w:t>
      </w:r>
      <w:r>
        <w:rPr>
          <w:rFonts w:ascii="Courier New" w:cs="Courier New" w:eastAsia="Courier New" w:hAnsi="Courier New"/>
          <w:color w:val="C7254E"/>
          <w:sz w:val="20"/>
          <w:szCs w:val="20"/>
        </w:rPr>
        <w:t xml:space="preserve">/compliance/</w:t>
      </w:r>
      <w:r>
        <w:rPr>
          <w:rFonts w:ascii="Arial" w:cs="Arial" w:eastAsia="Arial" w:hAnsi="Arial"/>
          <w:sz w:val="22"/>
          <w:szCs w:val="22"/>
        </w:rPr>
        <w:t xml:space="preserve"> directory contains the operator self-audit checklist.</w:t>
      </w:r>
    </w:p>
    <w:p>
      <w:pPr>
        <w:spacing w:after="60"/>
      </w:pPr>
    </w:p>
    <w:p>
      <w:pPr>
        <w:pBdr>
          <w:bottom w:val="single" w:color="CCCCCC" w:sz="4" w:space="2"/>
        </w:pBdr>
        <w:spacing w:after="120" w:before="120"/>
      </w:pPr>
    </w:p>
    <w:p>
      <w:pPr>
        <w:spacing w:after="60"/>
      </w:pPr>
    </w:p>
    <w:p>
      <w:pPr>
        <w:pStyle w:val="Heading2"/>
      </w:pPr>
      <w:r>
        <w:rPr>
          <w:rFonts w:ascii="Arial" w:cs="Arial" w:eastAsia="Arial" w:hAnsi="Arial"/>
        </w:rPr>
        <w:t xml:space="preserve">ASRO v1.0 — Layered Architecture</w:t>
      </w:r>
    </w:p>
    <w:p>
      <w:pPr>
        <w:spacing w:after="60"/>
      </w:pP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ASRO is composed of five integrated layers:</w:t>
      </w:r>
    </w:p>
    <w:p>
      <w:pPr>
        <w:spacing w:after="60"/>
      </w:pP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1. Specification Layer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Defines the attestation bundle format, telemetry rules, and the Host/Edge/ASRO verification model. Normative authority for all other layers.</w:t>
      </w:r>
    </w:p>
    <w:p>
      <w:pPr>
        <w:spacing w:after="60"/>
      </w:pP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2. Schema Layer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Machine-enforceable controlled vocabularies, discrepancy taxonomy (S0–S4), and continuity protocol. The ground truth for automated verification.</w:t>
      </w:r>
    </w:p>
    <w:p>
      <w:pPr>
        <w:spacing w:after="60"/>
      </w:pP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3. Governance Layer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Response procedures, escalation rules, reviewer authority, and the threat classification framework ranked by governance significance.</w:t>
      </w:r>
    </w:p>
    <w:p>
      <w:pPr>
        <w:spacing w:after="60"/>
      </w:pP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4. Threat and Validation Layer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Adversarial model, named attack patterns (Shadow Tool, Midnight Swap, Drip Feed, Metadata Strip), and the final credibility certification.</w:t>
      </w:r>
    </w:p>
    <w:p>
      <w:pPr>
        <w:spacing w:after="60"/>
      </w:pP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5. Public Interface Layer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Trust Badge specification and machine-verifiable status signaling via signed Trust Status Records.</w:t>
      </w:r>
    </w:p>
    <w:p>
      <w:pPr>
        <w:spacing w:after="60"/>
      </w:pPr>
    </w:p>
    <w:p>
      <w:pPr>
        <w:pBdr>
          <w:bottom w:val="single" w:color="CCCCCC" w:sz="4" w:space="2"/>
        </w:pBdr>
        <w:spacing w:after="120" w:before="120"/>
      </w:pPr>
    </w:p>
    <w:p>
      <w:pPr>
        <w:spacing w:after="60"/>
      </w:pPr>
    </w:p>
    <w:p>
      <w:pPr>
        <w:pStyle w:val="Heading2"/>
      </w:pPr>
      <w:r>
        <w:rPr>
          <w:rFonts w:ascii="Arial" w:cs="Arial" w:eastAsia="Arial" w:hAnsi="Arial"/>
        </w:rPr>
        <w:t xml:space="preserve">For Users — Privacy and Verification</w:t>
      </w:r>
    </w:p>
    <w:p>
      <w:pPr>
        <w:spacing w:after="60"/>
      </w:pP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Deploy an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Edge Meter Agent</w:t>
      </w:r>
      <w:r>
        <w:rPr>
          <w:rFonts w:ascii="Arial" w:cs="Arial" w:eastAsia="Arial" w:hAnsi="Arial"/>
          <w:sz w:val="22"/>
          <w:szCs w:val="22"/>
        </w:rPr>
        <w:t xml:space="preserve"> to independently witness whether the AI system's declared governance state matches what your device actually receives.</w:t>
      </w:r>
    </w:p>
    <w:p>
      <w:pPr>
        <w:spacing w:after="60"/>
      </w:pP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An Edge Meter Agent records: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The system's declared configuration and policy fingerprints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Whether those fingerprints remained consistent across sessions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Whether observable behavior matched declared permissions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Discrepancies between host claims and edge-observed state</w:t>
      </w:r>
    </w:p>
    <w:p>
      <w:pPr>
        <w:spacing w:after="60"/>
      </w:pP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You can independently check whether the operator's attestation record remains consistent with what your device observed.</w:t>
      </w:r>
    </w:p>
    <w:p>
      <w:pPr>
        <w:spacing w:after="60"/>
      </w:pPr>
    </w:p>
    <w:p>
      <w:pPr>
        <w:spacing w:after="120"/>
      </w:pPr>
      <w:r>
        <w:rPr>
          <w:rFonts w:ascii="Arial" w:cs="Arial" w:eastAsia="Arial" w:hAnsi="Arial"/>
          <w:i/>
          <w:iCs/>
          <w:sz w:val="22"/>
          <w:szCs w:val="22"/>
        </w:rPr>
        <w:t xml:space="preserve">See: `/spec/MAS_v1.1_Unified.md` — Section: Edge Meter Agent</w:t>
      </w:r>
    </w:p>
    <w:p>
      <w:pPr>
        <w:spacing w:after="60"/>
      </w:pPr>
    </w:p>
    <w:p>
      <w:pPr>
        <w:pBdr>
          <w:bottom w:val="single" w:color="CCCCCC" w:sz="4" w:space="2"/>
        </w:pBdr>
        <w:spacing w:after="120" w:before="120"/>
      </w:pPr>
    </w:p>
    <w:p>
      <w:pPr>
        <w:spacing w:after="60"/>
      </w:pPr>
    </w:p>
    <w:p>
      <w:pPr>
        <w:pStyle w:val="Heading2"/>
      </w:pPr>
      <w:r>
        <w:rPr>
          <w:rFonts w:ascii="Arial" w:cs="Arial" w:eastAsia="Arial" w:hAnsi="Arial"/>
        </w:rPr>
        <w:t xml:space="preserve">For Operators — Compliance and Governance</w:t>
      </w:r>
    </w:p>
    <w:p>
      <w:pPr>
        <w:spacing w:after="60"/>
      </w:pP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Deploy 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Host Meter Agent</w:t>
      </w:r>
      <w:r>
        <w:rPr>
          <w:rFonts w:ascii="Arial" w:cs="Arial" w:eastAsia="Arial" w:hAnsi="Arial"/>
          <w:sz w:val="22"/>
          <w:szCs w:val="22"/>
        </w:rPr>
        <w:t xml:space="preserve"> to produce a continuous, cryptographically signed record of your system's declared governance state and load-bearing runtime events.</w:t>
      </w:r>
    </w:p>
    <w:p>
      <w:pPr>
        <w:spacing w:after="60"/>
      </w:pP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ASRO attestation provides: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A technically verifiable record of governance continuity for your board, partners, and regulators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Evidence that supports compliance demonstration and governance review under applicable law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A structured audit trail that reviewers can examine without accessing conversation content or model internals</w:t>
      </w:r>
    </w:p>
    <w:p>
      <w:pPr>
        <w:spacing w:after="60"/>
      </w:pP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ASRO attestation supports compliance demonstration. Whether that evidence satisfies the specific requirements of applicable statutes is a legal determination made by qualified counsel and regulators, not by ASRO.</w:t>
      </w:r>
    </w:p>
    <w:p>
      <w:pPr>
        <w:spacing w:after="60"/>
      </w:pPr>
    </w:p>
    <w:p>
      <w:pPr>
        <w:spacing w:after="120"/>
      </w:pPr>
      <w:r>
        <w:rPr>
          <w:rFonts w:ascii="Arial" w:cs="Arial" w:eastAsia="Arial" w:hAnsi="Arial"/>
          <w:i/>
          <w:iCs/>
          <w:sz w:val="22"/>
          <w:szCs w:val="22"/>
        </w:rPr>
        <w:t xml:space="preserve">See: `/compliance/Implementation_Readiness_Checklist_v1.0.md` — start here</w:t>
      </w:r>
    </w:p>
    <w:p>
      <w:pPr>
        <w:spacing w:after="60"/>
      </w:pPr>
    </w:p>
    <w:p>
      <w:pPr>
        <w:pBdr>
          <w:bottom w:val="single" w:color="CCCCCC" w:sz="4" w:space="2"/>
        </w:pBdr>
        <w:spacing w:after="120" w:before="120"/>
      </w:pPr>
    </w:p>
    <w:p>
      <w:pPr>
        <w:spacing w:after="60"/>
      </w:pPr>
    </w:p>
    <w:p>
      <w:pPr>
        <w:pStyle w:val="Heading2"/>
      </w:pPr>
      <w:r>
        <w:rPr>
          <w:rFonts w:ascii="Arial" w:cs="Arial" w:eastAsia="Arial" w:hAnsi="Arial"/>
        </w:rPr>
        <w:t xml:space="preserve">For Regulators and Auditors — Evidence and Review</w:t>
      </w:r>
    </w:p>
    <w:p>
      <w:pPr>
        <w:spacing w:after="60"/>
      </w:pP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ASRO provides a continuous, signed, independently checkable attestation record that answers: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Was the declared governance configuration in force during this period?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Did any undeclared change occur?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Is the continuity chain intact, or are there gaps requiring explanation?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What is the system's current attestation status?</w:t>
      </w:r>
    </w:p>
    <w:p>
      <w:pPr>
        <w:spacing w:after="60"/>
      </w:pP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ASRO review findings are evidentiary, not adjudicatory. Legal compliance determinations require human judgment applied to the attestation evidence, combined with the specific requirements of applicable statutes.</w:t>
      </w:r>
    </w:p>
    <w:p>
      <w:pPr>
        <w:spacing w:after="60"/>
      </w:pP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ASRO does not determine legality or compliance outcome; it preserves the evidence chain on which those determinations can be based.</w:t>
      </w:r>
    </w:p>
    <w:p>
      <w:pPr>
        <w:spacing w:after="60"/>
      </w:pPr>
    </w:p>
    <w:p>
      <w:pPr>
        <w:spacing w:after="120"/>
      </w:pPr>
      <w:r>
        <w:rPr>
          <w:rFonts w:ascii="Arial" w:cs="Arial" w:eastAsia="Arial" w:hAnsi="Arial"/>
          <w:i/>
          <w:iCs/>
          <w:sz w:val="22"/>
          <w:szCs w:val="22"/>
        </w:rPr>
        <w:t xml:space="preserve">See: `/governance/Governance_Response_Protocol_v1.0.md`</w:t>
      </w:r>
    </w:p>
    <w:p>
      <w:pPr>
        <w:spacing w:after="120"/>
      </w:pPr>
      <w:r>
        <w:rPr>
          <w:rFonts w:ascii="Arial" w:cs="Arial" w:eastAsia="Arial" w:hAnsi="Arial"/>
          <w:i/>
          <w:iCs/>
          <w:sz w:val="22"/>
          <w:szCs w:val="22"/>
        </w:rPr>
        <w:t xml:space="preserve">See: `/governance/Governance_Rationale_v1.1.md`</w:t>
      </w:r>
    </w:p>
    <w:p>
      <w:pPr>
        <w:spacing w:after="60"/>
      </w:pPr>
    </w:p>
    <w:p>
      <w:pPr>
        <w:pBdr>
          <w:bottom w:val="single" w:color="CCCCCC" w:sz="4" w:space="2"/>
        </w:pBdr>
        <w:spacing w:after="120" w:before="120"/>
      </w:pPr>
    </w:p>
    <w:p>
      <w:pPr>
        <w:spacing w:after="60"/>
      </w:pPr>
    </w:p>
    <w:p>
      <w:pPr>
        <w:pStyle w:val="Heading2"/>
      </w:pPr>
      <w:r>
        <w:rPr>
          <w:rFonts w:ascii="Arial" w:cs="Arial" w:eastAsia="Arial" w:hAnsi="Arial"/>
        </w:rPr>
        <w:t xml:space="preserve">Attestation Status Tiers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Status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Label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Meaning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host_attested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Host Attestation Active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Operator-side attestation active. No claim of edge reconciliation.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reconciled_attested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Independent Verification Active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Host and edge attestation are both active and reconcilable under the declared observation conditions.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under_review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Attestation Under Review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Trust-relevant anomaly active. Status not clean. Required during S4 alerts.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non_compliant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Attestation Not Current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System cannot credibly claim current ASRO attestation compliance.</w:t>
            </w:r>
          </w:p>
        </w:tc>
      </w:tr>
    </w:tbl>
    <w:p/>
    <w:p>
      <w:pPr>
        <w:spacing w:after="60"/>
      </w:pP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Trust Badge communicates attestation status only. It does not imply safety, accuracy, quality, harmlessness, or regulatory approval.</w:t>
      </w:r>
    </w:p>
    <w:p>
      <w:pPr>
        <w:spacing w:after="60"/>
      </w:pP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A system that structurally prevents meaningful edge observation cannot claim </w:t>
      </w:r>
      <w:r>
        <w:rPr>
          <w:rFonts w:ascii="Courier New" w:cs="Courier New" w:eastAsia="Courier New" w:hAnsi="Courier New"/>
          <w:color w:val="C7254E"/>
          <w:sz w:val="20"/>
          <w:szCs w:val="20"/>
        </w:rPr>
        <w:t xml:space="preserve">Independent Verification Active</w:t>
      </w:r>
      <w:r>
        <w:rPr>
          <w:rFonts w:ascii="Arial" w:cs="Arial" w:eastAsia="Arial" w:hAnsi="Arial"/>
          <w:sz w:val="22"/>
          <w:szCs w:val="22"/>
        </w:rPr>
        <w:t xml:space="preserve"> status.</w:t>
      </w:r>
    </w:p>
    <w:p>
      <w:pPr>
        <w:spacing w:after="60"/>
      </w:pPr>
    </w:p>
    <w:p>
      <w:pPr>
        <w:spacing w:after="120"/>
      </w:pPr>
      <w:r>
        <w:rPr>
          <w:rFonts w:ascii="Arial" w:cs="Arial" w:eastAsia="Arial" w:hAnsi="Arial"/>
          <w:i/>
          <w:iCs/>
          <w:sz w:val="22"/>
          <w:szCs w:val="22"/>
        </w:rPr>
        <w:t xml:space="preserve">See: `/docs/ASRO_Trust_Badge_Spec_v1.0.md`</w:t>
      </w:r>
    </w:p>
    <w:p>
      <w:pPr>
        <w:spacing w:after="60"/>
      </w:pPr>
    </w:p>
    <w:p>
      <w:pPr>
        <w:pBdr>
          <w:bottom w:val="single" w:color="CCCCCC" w:sz="4" w:space="2"/>
        </w:pBdr>
        <w:spacing w:after="120" w:before="120"/>
      </w:pPr>
    </w:p>
    <w:p>
      <w:pPr>
        <w:spacing w:after="60"/>
      </w:pPr>
    </w:p>
    <w:p>
      <w:pPr>
        <w:pStyle w:val="Heading2"/>
      </w:pPr>
      <w:r>
        <w:rPr>
          <w:rFonts w:ascii="Arial" w:cs="Arial" w:eastAsia="Arial" w:hAnsi="Arial"/>
        </w:rPr>
        <w:t xml:space="preserve">Known Limitations</w:t>
      </w:r>
    </w:p>
    <w:p>
      <w:pPr>
        <w:spacing w:after="60"/>
      </w:pP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These limitations are stated prominently because honest scope is what makes this framework credible.</w:t>
      </w:r>
    </w:p>
    <w:p>
      <w:pPr>
        <w:spacing w:after="60"/>
      </w:pP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ASRO does not guarantee good model behavior.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ASRO does not eliminate hallucinations.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ASRO does not by itself prove legal compliance.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ASRO does not prevent all infrastructure compromise.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Host-only attestation is weaker than host-edge reconciled attestation.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Low-visibility environments weaken edge assurance even when honestly declared.</w:t>
      </w:r>
    </w:p>
    <w:p>
      <w:pPr>
        <w:spacing w:after="60"/>
      </w:pPr>
    </w:p>
    <w:p>
      <w:pPr>
        <w:pBdr>
          <w:bottom w:val="single" w:color="CCCCCC" w:sz="4" w:space="2"/>
        </w:pBdr>
        <w:spacing w:after="120" w:before="120"/>
      </w:pPr>
    </w:p>
    <w:p>
      <w:pPr>
        <w:spacing w:after="60"/>
      </w:pPr>
    </w:p>
    <w:p>
      <w:pPr>
        <w:pStyle w:val="Heading2"/>
      </w:pPr>
      <w:r>
        <w:rPr>
          <w:rFonts w:ascii="Arial" w:cs="Arial" w:eastAsia="Arial" w:hAnsi="Arial"/>
        </w:rPr>
        <w:t xml:space="preserve">Document Index</w:t>
      </w:r>
    </w:p>
    <w:p>
      <w:pPr>
        <w:spacing w:after="60"/>
      </w:pPr>
    </w:p>
    <w:p>
      <w:pPr>
        <w:pStyle w:val="Heading3"/>
      </w:pPr>
      <w:r>
        <w:rPr>
          <w:rFonts w:ascii="Arial" w:cs="Arial" w:eastAsia="Arial" w:hAnsi="Arial"/>
        </w:rPr>
        <w:t xml:space="preserve">Technical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Document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Path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Meter Agent Specification v1.1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/spec/MAS_v1.1_Unified.md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Authoritative technical specification: telemetry, schemas, continuity, discrepancy taxonomy, trust model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Technical Annex v1.0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/docs/Technical_Annex_v1.0.md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Implementation architecture, data flow, deployment patterns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Threat Model v1.0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/threat_model/Threat_Model_v1.0.md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Attack surfaces, named attack patterns, mitigations</w:t>
            </w:r>
          </w:p>
        </w:tc>
      </w:tr>
    </w:tbl>
    <w:p/>
    <w:p>
      <w:pPr>
        <w:spacing w:after="60"/>
      </w:pPr>
    </w:p>
    <w:p>
      <w:pPr>
        <w:pStyle w:val="Heading3"/>
      </w:pPr>
      <w:r>
        <w:rPr>
          <w:rFonts w:ascii="Arial" w:cs="Arial" w:eastAsia="Arial" w:hAnsi="Arial"/>
        </w:rPr>
        <w:t xml:space="preserve">Governance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Document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Path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Governance Rationale v1.1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/governance/Governance_Rationale_v1.1.md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Why attestation-based governance is necessary; adoption logic; escalation rules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Governance Response Protocol v1.0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/governance/Governance_Response_Protocol_v1.0.md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Reviewer roles, S3/S4 response procedures, timelines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Threat Classification Framework v1.0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/governance/Threat_Classification_Framework_v1.0.md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Five threat categories ranked by governance significance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Credibility Pass Report v1.0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/governance/Credibility_Pass_Report_v1.0.md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Final quality certification — ten findings, all resolved</w:t>
            </w:r>
          </w:p>
        </w:tc>
      </w:tr>
    </w:tbl>
    <w:p/>
    <w:p>
      <w:pPr>
        <w:spacing w:after="60"/>
      </w:pPr>
    </w:p>
    <w:p>
      <w:pPr>
        <w:pStyle w:val="Heading3"/>
      </w:pPr>
      <w:r>
        <w:rPr>
          <w:rFonts w:ascii="Arial" w:cs="Arial" w:eastAsia="Arial" w:hAnsi="Arial"/>
        </w:rPr>
        <w:t xml:space="preserve">Compliance and Public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Document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Path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Compliance Boundary Statement v1.0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/compliance/Compliance_Boundary_v1.0.md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Canonical definition of what ASRO determines and does not determine — the evidence-not-adjudication boundary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Implementation Readiness Checklist v1.0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/compliance/Implementation_Readiness_Checklist_v1.0.md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10-point operator self-audit before claiming ASRO compliance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Trust Badge Specification v1.0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/docs/ASRO_Trust_Badge_Spec_v1.0.md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Human-readable and machine-readable badge status rules</w:t>
            </w:r>
          </w:p>
        </w:tc>
      </w:tr>
    </w:tbl>
    <w:p/>
    <w:p>
      <w:pPr>
        <w:spacing w:after="60"/>
      </w:pPr>
    </w:p>
    <w:p>
      <w:pPr>
        <w:pStyle w:val="Heading3"/>
      </w:pPr>
      <w:r>
        <w:rPr>
          <w:rFonts w:ascii="Arial" w:cs="Arial" w:eastAsia="Arial" w:hAnsi="Arial"/>
        </w:rPr>
        <w:t xml:space="preserve">Case Studies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Document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Path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Intent Mismatch Detection v1.0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/docs/case-studies/ASRO_Case_Study_Intent_Mismatch_v1.0.md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Real governance event — detected, classified, and mapped to ASRO framework; includes operational proof of concept finding</w:t>
            </w:r>
          </w:p>
        </w:tc>
      </w:tr>
    </w:tbl>
    <w:p/>
    <w:p>
      <w:pPr>
        <w:spacing w:after="60"/>
      </w:pPr>
    </w:p>
    <w:p>
      <w:pPr>
        <w:pStyle w:val="Heading3"/>
      </w:pPr>
      <w:r>
        <w:rPr>
          <w:rFonts w:ascii="Arial" w:cs="Arial" w:eastAsia="Arial" w:hAnsi="Arial"/>
        </w:rPr>
        <w:t xml:space="preserve">Schemas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File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Path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Controlled Vocabulary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/schemas/controlled_vocab.json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Canonical event types, reason codes, discrepancy classes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Discrepancy Taxonomy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/schemas/discrepancy_taxonomy.json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S0–S4 severity levels and class definitions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Continuity Protocol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/schemas/continuity_protocol.json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Sequence, hash, and heartbeat rules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Developer Sandbox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/schemas/sandbox/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Non-production. Testing schema only. Cannot be used for compliance claims.</w:t>
            </w:r>
          </w:p>
        </w:tc>
      </w:tr>
    </w:tbl>
    <w:p/>
    <w:p>
      <w:pPr>
        <w:spacing w:after="60"/>
      </w:pPr>
    </w:p>
    <w:p>
      <w:pPr>
        <w:pBdr>
          <w:bottom w:val="single" w:color="CCCCCC" w:sz="4" w:space="2"/>
        </w:pBdr>
        <w:spacing w:after="120" w:before="120"/>
      </w:pPr>
    </w:p>
    <w:p>
      <w:pPr>
        <w:spacing w:after="60"/>
      </w:pPr>
    </w:p>
    <w:p>
      <w:pPr>
        <w:pStyle w:val="Heading2"/>
      </w:pPr>
      <w:r>
        <w:rPr>
          <w:rFonts w:ascii="Arial" w:cs="Arial" w:eastAsia="Arial" w:hAnsi="Arial"/>
        </w:rPr>
        <w:t xml:space="preserve">Repository</w:t>
      </w:r>
    </w:p>
    <w:p>
      <w:pPr>
        <w:spacing w:after="60"/>
      </w:pP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ASRO is developed and maintained as an open governance framework.</w:t>
      </w:r>
    </w:p>
    <w:p>
      <w:pPr>
        <w:spacing w:after="60"/>
      </w:pP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Repository: [https://github.com/magicianzcardstockllc/asro](https://github.com/magicianzcardstockllc/asro)</w:t>
      </w:r>
    </w:p>
    <w:p>
      <w:pPr>
        <w:spacing w:after="60"/>
      </w:pPr>
    </w:p>
    <w:p>
      <w:pPr>
        <w:pBdr>
          <w:bottom w:val="single" w:color="CCCCCC" w:sz="4" w:space="2"/>
        </w:pBdr>
        <w:spacing w:after="120" w:before="120"/>
      </w:pPr>
    </w:p>
    <w:p>
      <w:pPr>
        <w:spacing w:after="60"/>
      </w:pPr>
    </w:p>
    <w:p>
      <w:pPr>
        <w:spacing w:after="120"/>
      </w:pPr>
      <w:r>
        <w:rPr>
          <w:rFonts w:ascii="Arial" w:cs="Arial" w:eastAsia="Arial" w:hAnsi="Arial"/>
          <w:i/>
          <w:iCs/>
          <w:sz w:val="22"/>
          <w:szCs w:val="22"/>
        </w:rPr>
        <w:t xml:space="preserve">ASRO v1.0 Release Candidate. This repository contains the frozen technical, governance, threat, compliance, and public-facing documents for the release candidate stack.</w:t>
      </w:r>
    </w:p>
    <w:p>
      <w:pPr>
        <w:spacing w:after="60"/>
      </w:pPr>
    </w:p>
    <w:p>
      <w:pPr>
        <w:pBdr>
          <w:bottom w:val="single" w:color="CCCCCC" w:sz="4" w:space="2"/>
        </w:pBdr>
        <w:spacing w:after="120" w:before="120"/>
      </w:pPr>
    </w:p>
    <w:p>
      <w:pPr>
        <w:spacing w:after="60"/>
      </w:pPr>
    </w:p>
    <w:p>
      <w:pPr>
        <w:pStyle w:val="Heading2"/>
      </w:pPr>
      <w:r>
        <w:rPr>
          <w:rFonts w:ascii="Arial" w:cs="Arial" w:eastAsia="Arial" w:hAnsi="Arial"/>
        </w:rPr>
        <w:t xml:space="preserve">Framework Integrity</w:t>
      </w:r>
    </w:p>
    <w:p>
      <w:pPr>
        <w:spacing w:after="60"/>
      </w:pP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The following statements are locked across all ASRO v1.0 RC documents and must not be altered in any release material.</w:t>
      </w:r>
    </w:p>
    <w:p>
      <w:pPr>
        <w:spacing w:after="60"/>
      </w:pP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Governance Claim</w:t>
      </w:r>
    </w:p>
    <w:p>
      <w:pPr>
        <w:pBdr>
          <w:left w:val="single" w:color="1F4E79" w:sz="12" w:space="8"/>
        </w:pBdr>
        <w:spacing w:after="120" w:before="120"/>
        <w:ind w:left="720"/>
      </w:pPr>
      <w:r>
        <w:rPr>
          <w:rFonts w:ascii="Arial" w:cs="Arial" w:eastAsia="Arial" w:hAnsi="Arial"/>
          <w:sz w:val="22"/>
          <w:szCs w:val="22"/>
        </w:rPr>
        <w:t xml:space="preserve">ASRO does not trust operators to report their own compliance — it makes compliance verifiable by the parties who depend on it.</w:t>
      </w:r>
    </w:p>
    <w:p>
      <w:pPr>
        <w:spacing w:after="60"/>
      </w:pP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Canonical Trust Sentence</w:t>
      </w:r>
    </w:p>
    <w:p>
      <w:pPr>
        <w:pBdr>
          <w:left w:val="single" w:color="1F4E79" w:sz="12" w:space="8"/>
        </w:pBdr>
        <w:spacing w:after="120" w:before="120"/>
        <w:ind w:left="720"/>
      </w:pPr>
      <w:r>
        <w:rPr>
          <w:rFonts w:ascii="Arial" w:cs="Arial" w:eastAsia="Arial" w:hAnsi="Arial"/>
          <w:sz w:val="22"/>
          <w:szCs w:val="22"/>
        </w:rPr>
        <w:t xml:space="preserve">Internal measurement is not independent oversight. Trust arises only when host measurement, edge witnessing, and ASRO reconciliation remain consistent over time.</w:t>
      </w:r>
    </w:p>
    <w:p>
      <w:pPr>
        <w:spacing w:after="60"/>
      </w:pP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Canonical Threat Sentence</w:t>
      </w:r>
    </w:p>
    <w:p>
      <w:pPr>
        <w:pBdr>
          <w:left w:val="single" w:color="1F4E79" w:sz="12" w:space="8"/>
        </w:pBdr>
        <w:spacing w:after="120" w:before="120"/>
        <w:ind w:left="720"/>
      </w:pPr>
      <w:r>
        <w:rPr>
          <w:rFonts w:ascii="Arial" w:cs="Arial" w:eastAsia="Arial" w:hAnsi="Arial"/>
          <w:sz w:val="22"/>
          <w:szCs w:val="22"/>
        </w:rPr>
        <w:t xml:space="preserve">The primary adversary in ASRO is not a system that refuses to attest, but a system that attests selectively enough to preserve plausible compliance while hiding governance-relevant change.</w:t>
      </w:r>
    </w:p>
    <w:p>
      <w:pPr>
        <w:spacing w:after="60"/>
      </w:pP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Canonical Certification Sentence</w:t>
      </w:r>
    </w:p>
    <w:p>
      <w:pPr>
        <w:pBdr>
          <w:left w:val="single" w:color="1F4E79" w:sz="12" w:space="8"/>
        </w:pBdr>
        <w:spacing w:after="120" w:before="120"/>
        <w:ind w:left="720"/>
      </w:pPr>
      <w:r>
        <w:rPr>
          <w:rFonts w:ascii="Arial" w:cs="Arial" w:eastAsia="Arial" w:hAnsi="Arial"/>
          <w:sz w:val="22"/>
          <w:szCs w:val="22"/>
        </w:rPr>
        <w:t xml:space="preserve">ASRO v1.0 passes final credibility review as an attestation-and-governance evidence framework, not as a safety certification system, legal compliance guarantor, or enforcement authority.</w:t>
      </w:r>
    </w:p>
    <w:p>
      <w:pPr>
        <w:spacing w:after="60"/>
      </w:pP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4" w:space="4"/>
      </w:pBdr>
    </w:pPr>
    <w:r>
      <w:rPr>
        <w:rFonts w:ascii="Arial" w:cs="Arial" w:eastAsia="Arial" w:hAnsi="Arial"/>
        <w:color w:val="888888"/>
        <w:sz w:val="18"/>
        <w:szCs w:val="18"/>
      </w:rPr>
      <w:t xml:space="preserve">ASRO v1.0 Release Candidate  |  </w:t>
    </w:r>
    <w:r>
      <w:rPr>
        <w:rFonts w:ascii="Arial" w:cs="Arial" w:eastAsia="Arial" w:hAnsi="Arial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08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F4E79" w:sz="6" w:space="4"/>
      </w:pBdr>
      <w:spacing w:after="180" w:before="360"/>
      <w:outlineLvl w:val="0"/>
    </w:pPr>
    <w:rPr>
      <w:rFonts w:ascii="Arial" w:cs="Arial" w:eastAsia="Arial" w:hAnsi="Arial"/>
      <w:b/>
      <w:bCs/>
      <w:color w:val="1F4E79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Arial" w:cs="Arial" w:eastAsia="Arial" w:hAnsi="Arial"/>
      <w:b/>
      <w:bCs/>
      <w:color w:val="1F4E79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Arial" w:cs="Arial" w:eastAsia="Arial" w:hAnsi="Arial"/>
      <w:b/>
      <w:bCs/>
      <w:color w:val="2E74B5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2026-04-07T10:03:20.218Z</dcterms:created>
  <dcterms:modified xsi:type="dcterms:W3CDTF">2026-04-07T10:03:20.219Z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