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Divergence Event Record v0.5.1</w:t>
      </w:r>
    </w:p>
    <w:p>
      <w:pPr>
        <w:spacing w:after="120"/>
      </w:pPr>
      <w:r>
        <w:rPr>
          <w:rFonts w:ascii="Arial" w:cs="Arial" w:eastAsia="Arial" w:hAnsi="Arial"/>
          <w:b/>
          <w:bCs/>
          <w:sz w:val="28"/>
          <w:szCs w:val="28"/>
        </w:rPr>
        <w:t xml:space="preserve">Seam Discipline — Cross-Deployer Divergence Specification</w:t>
      </w:r>
    </w:p>
    <w:p>
      <w:pPr>
        <w:spacing w:after="60"/>
      </w:pPr>
      <w:r>
        <w:rPr>
          <w:rFonts w:ascii="Arial" w:cs="Arial" w:eastAsia="Arial" w:hAnsi="Arial"/>
          <w:i/>
          <w:iCs/>
          <w:color w:val="555555"/>
          <w:sz w:val="20"/>
          <w:szCs w:val="20"/>
        </w:rPr>
        <w:t xml:space="preserve">Author: Gemini / Adversarial Designer (Aull Protocol)</w:t>
      </w:r>
    </w:p>
    <w:p>
      <w:pPr>
        <w:spacing w:after="60"/>
      </w:pPr>
      <w:r>
        <w:rPr>
          <w:rFonts w:ascii="Arial" w:cs="Arial" w:eastAsia="Arial" w:hAnsi="Arial"/>
          <w:i/>
          <w:iCs/>
          <w:color w:val="555555"/>
          <w:sz w:val="20"/>
          <w:szCs w:val="20"/>
        </w:rPr>
        <w:t xml:space="preserve">Authority: James Aull / MagicianzCardstock LLC</w:t>
      </w:r>
    </w:p>
    <w:p>
      <w:pPr>
        <w:spacing w:after="60"/>
      </w:pPr>
      <w:r>
        <w:rPr>
          <w:rFonts w:ascii="Arial" w:cs="Arial" w:eastAsia="Arial" w:hAnsi="Arial"/>
          <w:i/>
          <w:iCs/>
          <w:color w:val="555555"/>
          <w:sz w:val="20"/>
          <w:szCs w:val="20"/>
        </w:rPr>
        <w:t xml:space="preserve">Date: May 27, 2026</w:t>
      </w:r>
    </w:p>
    <w:p>
      <w:pPr>
        <w:spacing w:after="60"/>
      </w:pPr>
      <w:r>
        <w:rPr>
          <w:rFonts w:ascii="Arial" w:cs="Arial" w:eastAsia="Arial" w:hAnsi="Arial"/>
          <w:i/>
          <w:iCs/>
          <w:color w:val="555555"/>
          <w:sz w:val="20"/>
          <w:szCs w:val="20"/>
        </w:rPr>
        <w:t xml:space="preserve">Status: Canonical v0.5.1</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Non-Causal Statement</w:t>
      </w:r>
    </w:p>
    <w:p>
      <w:pPr>
        <w:pBdr>
          <w:left w:val="single" w:color="2E75B6" w:sz="6" w:space="4"/>
        </w:pBdr>
        <w:spacing w:after="100"/>
        <w:ind w:left="720"/>
      </w:pPr>
      <w:r>
        <w:rPr>
          <w:rFonts w:ascii="Arial" w:cs="Arial" w:eastAsia="Arial" w:hAnsi="Arial"/>
          <w:i/>
          <w:iCs/>
          <w:color w:val="333333"/>
          <w:sz w:val="22"/>
          <w:szCs w:val="22"/>
        </w:rPr>
        <w:t xml:space="preserve">The Divergence Event Record is categorically non-causal. It does not sit one step before enforcement, halt, or control. It has no causal relationship with runtime execution. It is a passive, reviewer-side forensic witness record.</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Purpose</w:t>
      </w:r>
    </w:p>
    <w:p>
      <w:pPr>
        <w:spacing w:after="100"/>
      </w:pPr>
      <w:r>
        <w:rPr>
          <w:rFonts w:ascii="Arial" w:cs="Arial" w:eastAsia="Arial" w:hAnsi="Arial"/>
          <w:sz w:val="22"/>
          <w:szCs w:val="22"/>
        </w:rPr>
        <w:t xml:space="preserve">The Divergence Event Record preserves evidence that independently governed artifacts do not compose cleanly. It records structural mismatch as independently reviewable evidence. It does not resolve mismatch. It does not assign response authority. It does not select the correct deployer.</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Controlling Invariant</w:t>
      </w:r>
    </w:p>
    <w:p>
      <w:pPr>
        <w:pBdr>
          <w:left w:val="single" w:color="2E75B6" w:sz="6" w:space="4"/>
        </w:pBdr>
        <w:spacing w:after="100"/>
        <w:ind w:left="720"/>
      </w:pPr>
      <w:r>
        <w:rPr>
          <w:rFonts w:ascii="Arial" w:cs="Arial" w:eastAsia="Arial" w:hAnsi="Arial"/>
          <w:i/>
          <w:iCs/>
          <w:color w:val="333333"/>
          <w:sz w:val="22"/>
          <w:szCs w:val="22"/>
        </w:rPr>
        <w:t xml:space="preserve">Divergence detection is not response authority assignment. The discipline preserves the question; it does not answer it.</w:t>
      </w:r>
    </w:p>
    <w:p>
      <w:pPr>
        <w:spacing w:after="100"/>
      </w:pPr>
      <w:r>
        <w:rPr>
          <w:rFonts w:ascii="Arial" w:cs="Arial" w:eastAsia="Arial" w:hAnsi="Arial"/>
          <w:sz w:val="22"/>
          <w:szCs w:val="22"/>
        </w:rPr>
        <w:t xml:space="preserve">There is no single response authority across independently governed deployers. The Seam Discipline may record what divergence exists and what each deployer declared as its own response authority. It must not decide which deployer is correct, who has authority over both deployers, or what the divergence means for consequence.</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Divergence Nature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SCOPE_HASH_CONFLICT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 hashes conflict across compared artifacts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EVENT_WINDOW_DISCONTINUITY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 windows do not overlap or isolate the same event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GOVERNED_STATE_MISMATCH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Declared governed states do not align across artifacts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STALE_UPSTREAM_REFERENCE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reference points to an artifact that is no longer current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AUTHORITY_POSTURE_DECLARATION_MISMATCH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Compared artifacts declare incompatible authority postures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CONTEXT_DECOUPLING_DETECTED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Artifacts appear to reference different deployment contexts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UNANCHORED_CORRELATION_ID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Correlation ID is present but not shared across participating layers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UNRETRIEVABLE_SCOPE_OBJECT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 document referenced by scope_hash is not independently retrievable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ARTIFACT_HASH_TARGET_MISMATCH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Artifact hash does not match the governed-state record content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TIMESTAMP_TYPE_MISMATCH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witness_timestamp and commitment_timestamp types differ across artifacts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OVERBROAD_EVENT_WINDOW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 window is too broad to isolate the specific event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NON_CLAIMS_REFERENCE_DRIFT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Non-claims are cited by reference rather than stated independently</w:t>
            </w:r>
          </w:p>
        </w:tc>
      </w:tr>
    </w:tbl>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Non-Claims Block (10 Non-Claims)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Non-Claim</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NO_EXECUTION_HALT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Categorically separate from execution control; does not trigger runtime gates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NO_ADMISSIBILITY_JUDGMENT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Registers structural mismatch only; neutral on downstream validity or acceptability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NO_LIABILITY_ASSIGNMENT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not assign fault, blame, error accountability, or liability to any deployer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NO_PERMISSIVE_AUTHORIZATION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 constitutes an operational continuation token or compliance verification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NO_RESPONSE_AUTHORITY_ASSIGNMENT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not decide which deployer is correct or who has authority over both deployers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NO_CORRECTNESS_JUDGMENT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not evaluate whether operational behavior was substantively correct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NO_COMPLIANCE_CERTIFICATION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 constitutes a regulatory stamp, certificate of compliance, or standards clearance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NO_CONTINUATION_PERMISSION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Cannot be leveraged as an implicit token of permissive continuation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NO_RUNTIME_COORDINATION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operational surface area within active runtime pipelines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NO_SOURCE_OF_TRUTH_SELECTION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not resolve contradictions by choosing a canonical winning layer</w:t>
            </w:r>
          </w:p>
        </w:tc>
      </w:tr>
    </w:tbl>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Key Schema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divergence_record_ref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identifier for this observation record, produced reviewer-side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decision_correlation_id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Event-bound shared identifier; must match across all evaluated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divergence_nature_code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 (12 codes)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Classification of the architectural mismatch observed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external_jurisdiction_documented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Whether an external governance boundary is documented for this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declared_response_authority_status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NO_DECLARED_RESPONSE_AUTHORITY or EXTERNAL_RESPONSE_AUTHORITY_DOCUMENTED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resolution_status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unresolved | referred_to_declared_response_authority | closed_by_external_authority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witness_timestamp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8601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the governed-state condition was witnessed by the primitive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commitment_timestamp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8601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the artifact was cryptographically committed to the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declared_event_window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object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start_time and end_time bounding the specific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scope_document_hash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SHA-256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Hash of independently retrievable scope policy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declared_response_authority_ref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Reference to externally declared response authority, if one exists</w:t>
            </w:r>
          </w:p>
        </w:tc>
      </w:tr>
    </w:tbl>
    <w:p>
      <w:pPr>
        <w:pBdr>
          <w:bottom w:val="single" w:color="CCCCCC" w:sz="4" w:space="1"/>
        </w:pBdr>
        <w:spacing w:after="160" w:before="160"/>
      </w:pPr>
    </w:p>
    <w:p>
      <w:pPr>
        <w:spacing w:after="80"/>
      </w:pPr>
      <w:r>
        <w:rPr>
          <w:rFonts w:ascii="Arial" w:cs="Arial" w:eastAsia="Arial" w:hAnsi="Arial"/>
          <w:i/>
          <w:iCs/>
          <w:color w:val="555555"/>
          <w:sz w:val="22"/>
          <w:szCs w:val="22"/>
        </w:rPr>
        <w:t xml:space="preserve">Divergence Event Record v0.5.1 — Canonical</w:t>
      </w:r>
    </w:p>
    <w:p>
      <w:pPr>
        <w:spacing w:after="80"/>
      </w:pPr>
      <w:r>
        <w:rPr>
          <w:rFonts w:ascii="Arial" w:cs="Arial" w:eastAsia="Arial" w:hAnsi="Arial"/>
          <w:i/>
          <w:iCs/>
          <w:color w:val="555555"/>
          <w:sz w:val="22"/>
          <w:szCs w:val="22"/>
        </w:rPr>
        <w:t xml:space="preserve">Seam Discipline — Composition Seam Discipline</w:t>
      </w:r>
    </w:p>
    <w:p>
      <w:pPr>
        <w:spacing w:after="80"/>
      </w:pPr>
      <w:r>
        <w:rPr>
          <w:rFonts w:ascii="Arial" w:cs="Arial" w:eastAsia="Arial" w:hAnsi="Arial"/>
          <w:i/>
          <w:iCs/>
          <w:color w:val="555555"/>
          <w:sz w:val="22"/>
          <w:szCs w:val="22"/>
        </w:rPr>
        <w:t xml:space="preserve">ASRO™ is a trademark of MagicianzCardstock LLC. Serial No. 99827630.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2026-05-31T11:41:56.090Z</dcterms:created>
  <dcterms:modified xsi:type="dcterms:W3CDTF">2026-05-31T11:41:56.090Z</dcterms:modified>
</cp:coreProperties>
</file>

<file path=docProps/custom.xml><?xml version="1.0" encoding="utf-8"?>
<Properties xmlns="http://schemas.openxmlformats.org/officeDocument/2006/custom-properties" xmlns:vt="http://schemas.openxmlformats.org/officeDocument/2006/docPropsVTypes"/>
</file>