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40"/>
          <w:szCs w:val="40"/>
        </w:rPr>
        <w:t xml:space="preserve">Non-Collapse Invariant List v0.1</w:t>
      </w:r>
    </w:p>
    <w:p>
      <w:pPr>
        <w:spacing w:after="120"/>
      </w:pPr>
      <w:r>
        <w:rPr>
          <w:rFonts w:ascii="Arial" w:cs="Arial" w:eastAsia="Arial" w:hAnsi="Arial"/>
          <w:b/>
          <w:bCs/>
          <w:sz w:val="28"/>
          <w:szCs w:val="28"/>
        </w:rPr>
        <w:t xml:space="preserve">Seam Discipline — Composition Seam Discipline</w:t>
      </w:r>
    </w:p>
    <w:p>
      <w:pPr>
        <w:spacing w:after="60"/>
      </w:pPr>
      <w:r>
        <w:rPr>
          <w:rFonts w:ascii="Arial" w:cs="Arial" w:eastAsia="Arial" w:hAnsi="Arial"/>
          <w:i/>
          <w:iCs/>
          <w:color w:val="555555"/>
          <w:sz w:val="20"/>
          <w:szCs w:val="20"/>
        </w:rPr>
        <w:t xml:space="preserve">Author: DeepSeek / Protocol Requirements &amp; Architecture Synthesis (Aull Protocol)</w:t>
      </w:r>
    </w:p>
    <w:p>
      <w:pPr>
        <w:spacing w:after="60"/>
      </w:pPr>
      <w:r>
        <w:rPr>
          <w:rFonts w:ascii="Arial" w:cs="Arial" w:eastAsia="Arial" w:hAnsi="Arial"/>
          <w:i/>
          <w:iCs/>
          <w:color w:val="555555"/>
          <w:sz w:val="20"/>
          <w:szCs w:val="20"/>
        </w:rPr>
        <w:t xml:space="preserve">Authority: James Aull / MagicianzCardstock LLC</w:t>
      </w:r>
    </w:p>
    <w:p>
      <w:pPr>
        <w:spacing w:after="60"/>
      </w:pPr>
      <w:r>
        <w:rPr>
          <w:rFonts w:ascii="Arial" w:cs="Arial" w:eastAsia="Arial" w:hAnsi="Arial"/>
          <w:i/>
          <w:iCs/>
          <w:color w:val="555555"/>
          <w:sz w:val="20"/>
          <w:szCs w:val="20"/>
        </w:rPr>
        <w:t xml:space="preserve">Date: May 27, 2026</w:t>
      </w:r>
    </w:p>
    <w:p>
      <w:pPr>
        <w:spacing w:after="60"/>
      </w:pPr>
      <w:r>
        <w:rPr>
          <w:rFonts w:ascii="Arial" w:cs="Arial" w:eastAsia="Arial" w:hAnsi="Arial"/>
          <w:i/>
          <w:iCs/>
          <w:color w:val="555555"/>
          <w:sz w:val="20"/>
          <w:szCs w:val="20"/>
        </w:rPr>
        <w:t xml:space="preserve">Status: Canonical v0.1</w:t>
      </w:r>
    </w:p>
    <w:p>
      <w:pPr>
        <w:pBdr>
          <w:bottom w:val="single" w:color="CCCCCC" w:sz="4" w:space="1"/>
        </w:pBdr>
        <w:spacing w:after="160" w:before="160"/>
      </w:pPr>
    </w:p>
    <w:p>
      <w:pPr>
        <w:pStyle w:val="Heading1"/>
        <w:spacing w:after="120" w:before="280"/>
      </w:pPr>
      <w:r>
        <w:rPr>
          <w:rFonts w:ascii="Arial" w:cs="Arial" w:eastAsia="Arial" w:hAnsi="Arial"/>
          <w:b/>
          <w:bCs/>
          <w:color w:val="1F4E79"/>
          <w:sz w:val="28"/>
          <w:szCs w:val="28"/>
        </w:rPr>
        <w:t xml:space="preserve">Purpose</w:t>
      </w:r>
    </w:p>
    <w:p>
      <w:pPr>
        <w:spacing w:after="100"/>
      </w:pPr>
      <w:r>
        <w:rPr>
          <w:rFonts w:ascii="Arial" w:cs="Arial" w:eastAsia="Arial" w:hAnsi="Arial"/>
          <w:sz w:val="22"/>
          <w:szCs w:val="22"/>
        </w:rPr>
        <w:t xml:space="preserve">The Non-Collapse Invariant List defines what must never be inferred, inherited, transferred, or silently absorbed across seams between independently governed AI governance primitives. These invariants are the precondition for the Correlation Contract, the Divergence Event Record, the Review Bundle Map, and the Layer Non-Claims Matrix. If any invariant is violated, the seam has failed — regardless of how operationally coherent the composed output appears.</w:t>
      </w:r>
    </w:p>
    <w:p>
      <w:pPr>
        <w:spacing w:after="100"/>
      </w:pPr>
      <w:r>
        <w:rPr>
          <w:rFonts w:ascii="Arial" w:cs="Arial" w:eastAsia="Arial" w:hAnsi="Arial"/>
          <w:sz w:val="22"/>
          <w:szCs w:val="22"/>
        </w:rPr>
        <w:t xml:space="preserve">Each invariant is stated as a prohibition. Each carries a one-line non-claim that defines what the invariant does NOT do.</w:t>
      </w:r>
    </w:p>
    <w:p>
      <w:pPr>
        <w:pBdr>
          <w:bottom w:val="single" w:color="CCCCCC" w:sz="4" w:space="1"/>
        </w:pBdr>
        <w:spacing w:after="160" w:before="160"/>
      </w:pPr>
    </w:p>
    <w:p>
      <w:pPr>
        <w:pStyle w:val="Heading1"/>
        <w:spacing w:after="120" w:before="280"/>
      </w:pPr>
      <w:r>
        <w:rPr>
          <w:rFonts w:ascii="Arial" w:cs="Arial" w:eastAsia="Arial" w:hAnsi="Arial"/>
          <w:b/>
          <w:bCs/>
          <w:color w:val="1F4E79"/>
          <w:sz w:val="28"/>
          <w:szCs w:val="28"/>
        </w:rPr>
        <w:t xml:space="preserve">The Invariants</w:t>
      </w:r>
    </w:p>
    <w:p>
      <w:pPr>
        <w:pStyle w:val="Heading2"/>
        <w:spacing w:after="80" w:before="200"/>
      </w:pPr>
      <w:r>
        <w:rPr>
          <w:rFonts w:ascii="Arial" w:cs="Arial" w:eastAsia="Arial" w:hAnsi="Arial"/>
          <w:b/>
          <w:bCs/>
          <w:color w:val="2E75B6"/>
          <w:sz w:val="24"/>
          <w:szCs w:val="24"/>
        </w:rPr>
        <w:t xml:space="preserve">I1 — Non-Absorption</w:t>
      </w:r>
    </w:p>
    <w:p>
      <w:pPr>
        <w:spacing w:after="100"/>
      </w:pPr>
      <w:r>
        <w:rPr>
          <w:rFonts w:ascii="Arial" w:cs="Arial" w:eastAsia="Arial" w:hAnsi="Arial"/>
          <w:sz w:val="22"/>
          <w:szCs w:val="22"/>
        </w:rPr>
        <w:t xml:space="preserve">No layer may natively consume, interpret, or depend on another layer’s internal semantics as part of its own authority surface. Correlation is permitted; absorption is not.</w:t>
      </w:r>
    </w:p>
    <w:p>
      <w:pPr>
        <w:spacing w:after="80"/>
      </w:pPr>
      <w:r>
        <w:rPr>
          <w:rFonts w:ascii="Arial" w:cs="Arial" w:eastAsia="Arial" w:hAnsi="Arial"/>
          <w:b/>
          <w:bCs/>
          <w:sz w:val="22"/>
          <w:szCs w:val="22"/>
        </w:rPr>
        <w:t xml:space="preserve">Non-claim: </w:t>
      </w:r>
      <w:r>
        <w:rPr>
          <w:rFonts w:ascii="Arial" w:cs="Arial" w:eastAsia="Arial" w:hAnsi="Arial"/>
          <w:sz w:val="22"/>
          <w:szCs w:val="22"/>
        </w:rPr>
        <w:t xml:space="preserve">This invariant does not require layers to be blind to each other’s existence. It prohibits semantic ingestion.</w:t>
      </w:r>
    </w:p>
    <w:p>
      <w:pPr>
        <w:spacing w:after="60"/>
      </w:pPr>
    </w:p>
    <w:p>
      <w:pPr>
        <w:pStyle w:val="Heading2"/>
        <w:spacing w:after="80" w:before="200"/>
      </w:pPr>
      <w:r>
        <w:rPr>
          <w:rFonts w:ascii="Arial" w:cs="Arial" w:eastAsia="Arial" w:hAnsi="Arial"/>
          <w:b/>
          <w:bCs/>
          <w:color w:val="2E75B6"/>
          <w:sz w:val="24"/>
          <w:szCs w:val="24"/>
        </w:rPr>
        <w:t xml:space="preserve">I2 — Non-Collapse</w:t>
      </w:r>
    </w:p>
    <w:p>
      <w:pPr>
        <w:spacing w:after="100"/>
      </w:pPr>
      <w:r>
        <w:rPr>
          <w:rFonts w:ascii="Arial" w:cs="Arial" w:eastAsia="Arial" w:hAnsi="Arial"/>
          <w:sz w:val="22"/>
          <w:szCs w:val="22"/>
        </w:rPr>
        <w:t xml:space="preserve">Composition of multiple layer artifacts must not produce a unified artifact in which individual layer boundaries are indistinguishable. The composed record is a map, not a merger.</w:t>
      </w:r>
    </w:p>
    <w:p>
      <w:pPr>
        <w:spacing w:after="80"/>
      </w:pPr>
      <w:r>
        <w:rPr>
          <w:rFonts w:ascii="Arial" w:cs="Arial" w:eastAsia="Arial" w:hAnsi="Arial"/>
          <w:b/>
          <w:bCs/>
          <w:sz w:val="22"/>
          <w:szCs w:val="22"/>
        </w:rPr>
        <w:t xml:space="preserve">Non-claim: </w:t>
      </w:r>
      <w:r>
        <w:rPr>
          <w:rFonts w:ascii="Arial" w:cs="Arial" w:eastAsia="Arial" w:hAnsi="Arial"/>
          <w:sz w:val="22"/>
          <w:szCs w:val="22"/>
        </w:rPr>
        <w:t xml:space="preserve">This invariant does not prohibit review bundles or correlation records. It prohibits merged authority artifacts.</w:t>
      </w:r>
    </w:p>
    <w:p>
      <w:pPr>
        <w:spacing w:after="60"/>
      </w:pPr>
    </w:p>
    <w:p>
      <w:pPr>
        <w:pStyle w:val="Heading2"/>
        <w:spacing w:after="80" w:before="200"/>
      </w:pPr>
      <w:r>
        <w:rPr>
          <w:rFonts w:ascii="Arial" w:cs="Arial" w:eastAsia="Arial" w:hAnsi="Arial"/>
          <w:b/>
          <w:bCs/>
          <w:color w:val="2E75B6"/>
          <w:sz w:val="24"/>
          <w:szCs w:val="24"/>
        </w:rPr>
        <w:t xml:space="preserve">I3 — Non-Inheritance</w:t>
      </w:r>
    </w:p>
    <w:p>
      <w:pPr>
        <w:spacing w:after="100"/>
      </w:pPr>
      <w:r>
        <w:rPr>
          <w:rFonts w:ascii="Arial" w:cs="Arial" w:eastAsia="Arial" w:hAnsi="Arial"/>
          <w:sz w:val="22"/>
          <w:szCs w:val="22"/>
        </w:rPr>
        <w:t xml:space="preserve">No layer may inherit authority, admissibility weight, or enforcement power from another layer’s artifact. A reference to another layer’s record is a reference — not an elevation.</w:t>
      </w:r>
    </w:p>
    <w:p>
      <w:pPr>
        <w:spacing w:after="80"/>
      </w:pPr>
      <w:r>
        <w:rPr>
          <w:rFonts w:ascii="Arial" w:cs="Arial" w:eastAsia="Arial" w:hAnsi="Arial"/>
          <w:b/>
          <w:bCs/>
          <w:sz w:val="22"/>
          <w:szCs w:val="22"/>
        </w:rPr>
        <w:t xml:space="preserve">Non-claim: </w:t>
      </w:r>
      <w:r>
        <w:rPr>
          <w:rFonts w:ascii="Arial" w:cs="Arial" w:eastAsia="Arial" w:hAnsi="Arial"/>
          <w:sz w:val="22"/>
          <w:szCs w:val="22"/>
        </w:rPr>
        <w:t xml:space="preserve">This invariant does not prohibit layers from consuming each other’s artifacts as inputs. It prohibits substituting another layer’s finding for one’s own decision.</w:t>
      </w:r>
    </w:p>
    <w:p>
      <w:pPr>
        <w:spacing w:after="60"/>
      </w:pPr>
    </w:p>
    <w:p>
      <w:pPr>
        <w:pStyle w:val="Heading2"/>
        <w:spacing w:after="80" w:before="200"/>
      </w:pPr>
      <w:r>
        <w:rPr>
          <w:rFonts w:ascii="Arial" w:cs="Arial" w:eastAsia="Arial" w:hAnsi="Arial"/>
          <w:b/>
          <w:bCs/>
          <w:color w:val="2E75B6"/>
          <w:sz w:val="24"/>
          <w:szCs w:val="24"/>
        </w:rPr>
        <w:t xml:space="preserve">I4 — Reviewer-Side Stitching ★</w:t>
      </w:r>
    </w:p>
    <w:p>
      <w:pPr>
        <w:spacing w:after="100"/>
      </w:pPr>
      <w:r>
        <w:rPr>
          <w:rFonts w:ascii="Arial" w:cs="Arial" w:eastAsia="Arial" w:hAnsi="Arial"/>
          <w:sz w:val="22"/>
          <w:szCs w:val="22"/>
        </w:rPr>
        <w:t xml:space="preserve">The act of correlating artifacts across layers belongs to the external reviewer, not to any layer natively. Layers may emit correlation IDs, timestamps, scope identifiers, and artifact hashes to enable stitching. They may not perform the stitching on the reviewer’s behalf.</w:t>
      </w:r>
    </w:p>
    <w:p>
      <w:pPr>
        <w:spacing w:after="80"/>
      </w:pPr>
      <w:r>
        <w:rPr>
          <w:rFonts w:ascii="Arial" w:cs="Arial" w:eastAsia="Arial" w:hAnsi="Arial"/>
          <w:b/>
          <w:bCs/>
          <w:sz w:val="22"/>
          <w:szCs w:val="22"/>
        </w:rPr>
        <w:t xml:space="preserve">Non-claim: </w:t>
      </w:r>
      <w:r>
        <w:rPr>
          <w:rFonts w:ascii="Arial" w:cs="Arial" w:eastAsia="Arial" w:hAnsi="Arial"/>
          <w:sz w:val="22"/>
          <w:szCs w:val="22"/>
        </w:rPr>
        <w:t xml:space="preserve">This invariant does not prohibit layers from emitting metadata that makes stitching possible. It prohibits layers from producing the stitched artifact as a layer output.</w:t>
      </w:r>
    </w:p>
    <w:p>
      <w:pPr>
        <w:pBdr>
          <w:left w:val="single" w:color="2E75B6" w:sz="6" w:space="4"/>
        </w:pBdr>
        <w:spacing w:after="100"/>
        <w:ind w:left="720"/>
      </w:pPr>
      <w:r>
        <w:rPr>
          <w:rFonts w:ascii="Arial" w:cs="Arial" w:eastAsia="Arial" w:hAnsi="Arial"/>
          <w:i/>
          <w:iCs/>
          <w:color w:val="333333"/>
          <w:sz w:val="22"/>
          <w:szCs w:val="22"/>
        </w:rPr>
        <w:t xml:space="preserve">★ Operational Warning: I4 is the invariant most likely to be violated in practice. The pressure is architectural, operational, and commercial. No structural defense fully prevents this. The only durable defense is cultural: reviewers must insist on receiving raw artifacts and performing their own stitching.</w:t>
      </w:r>
    </w:p>
    <w:p>
      <w:pPr>
        <w:spacing w:after="60"/>
      </w:pPr>
    </w:p>
    <w:p>
      <w:pPr>
        <w:pStyle w:val="Heading2"/>
        <w:spacing w:after="80" w:before="200"/>
      </w:pPr>
      <w:r>
        <w:rPr>
          <w:rFonts w:ascii="Arial" w:cs="Arial" w:eastAsia="Arial" w:hAnsi="Arial"/>
          <w:b/>
          <w:bCs/>
          <w:color w:val="2E75B6"/>
          <w:sz w:val="24"/>
          <w:szCs w:val="24"/>
        </w:rPr>
        <w:t xml:space="preserve">I5 — Divergence Preservability</w:t>
      </w:r>
    </w:p>
    <w:p>
      <w:pPr>
        <w:spacing w:after="100"/>
      </w:pPr>
      <w:r>
        <w:rPr>
          <w:rFonts w:ascii="Arial" w:cs="Arial" w:eastAsia="Arial" w:hAnsi="Arial"/>
          <w:sz w:val="22"/>
          <w:szCs w:val="22"/>
        </w:rPr>
        <w:t xml:space="preserve">When layer artifacts diverge — in scope, event window, declared state, or artifact reference — that divergence must be expressible and preservable as a record without any layer claiming authority to resolve it. Divergence is evidence, not error.</w:t>
      </w:r>
    </w:p>
    <w:p>
      <w:pPr>
        <w:spacing w:after="80"/>
      </w:pPr>
      <w:r>
        <w:rPr>
          <w:rFonts w:ascii="Arial" w:cs="Arial" w:eastAsia="Arial" w:hAnsi="Arial"/>
          <w:b/>
          <w:bCs/>
          <w:sz w:val="22"/>
          <w:szCs w:val="22"/>
        </w:rPr>
        <w:t xml:space="preserve">Non-claim: </w:t>
      </w:r>
      <w:r>
        <w:rPr>
          <w:rFonts w:ascii="Arial" w:cs="Arial" w:eastAsia="Arial" w:hAnsi="Arial"/>
          <w:sz w:val="22"/>
          <w:szCs w:val="22"/>
        </w:rPr>
        <w:t xml:space="preserve">This invariant does not require that every divergence be flagged. It requires that divergence be recordable when detected.</w:t>
      </w:r>
    </w:p>
    <w:p>
      <w:pPr>
        <w:spacing w:after="60"/>
      </w:pPr>
    </w:p>
    <w:p>
      <w:pPr>
        <w:pStyle w:val="Heading2"/>
        <w:spacing w:after="80" w:before="200"/>
      </w:pPr>
      <w:r>
        <w:rPr>
          <w:rFonts w:ascii="Arial" w:cs="Arial" w:eastAsia="Arial" w:hAnsi="Arial"/>
          <w:b/>
          <w:bCs/>
          <w:color w:val="2E75B6"/>
          <w:sz w:val="24"/>
          <w:szCs w:val="24"/>
        </w:rPr>
        <w:t xml:space="preserve">I6 — Independent Verifiability</w:t>
      </w:r>
    </w:p>
    <w:p>
      <w:pPr>
        <w:spacing w:after="100"/>
      </w:pPr>
      <w:r>
        <w:rPr>
          <w:rFonts w:ascii="Arial" w:cs="Arial" w:eastAsia="Arial" w:hAnsi="Arial"/>
          <w:sz w:val="22"/>
          <w:szCs w:val="22"/>
        </w:rPr>
        <w:t xml:space="preserve">Every artifact referenced in a composition must remain independently verifiable without access to any other layer’s internal state, logs, or runtime. If verification requires the original producer to be present, online, and cooperative, the artifact is not independently verifiable.</w:t>
      </w:r>
    </w:p>
    <w:p>
      <w:pPr>
        <w:spacing w:after="80"/>
      </w:pPr>
      <w:r>
        <w:rPr>
          <w:rFonts w:ascii="Arial" w:cs="Arial" w:eastAsia="Arial" w:hAnsi="Arial"/>
          <w:b/>
          <w:bCs/>
          <w:sz w:val="22"/>
          <w:szCs w:val="22"/>
        </w:rPr>
        <w:t xml:space="preserve">Non-claim: </w:t>
      </w:r>
      <w:r>
        <w:rPr>
          <w:rFonts w:ascii="Arial" w:cs="Arial" w:eastAsia="Arial" w:hAnsi="Arial"/>
          <w:sz w:val="22"/>
          <w:szCs w:val="22"/>
        </w:rPr>
        <w:t xml:space="preserve">This invariant does not require universal public access. It requires that verification not depend on the continued cooperation of the artifact’s producer.</w:t>
      </w:r>
    </w:p>
    <w:p>
      <w:pPr>
        <w:spacing w:after="60"/>
      </w:pPr>
    </w:p>
    <w:p>
      <w:pPr>
        <w:pStyle w:val="Heading2"/>
        <w:spacing w:after="80" w:before="200"/>
      </w:pPr>
      <w:r>
        <w:rPr>
          <w:rFonts w:ascii="Arial" w:cs="Arial" w:eastAsia="Arial" w:hAnsi="Arial"/>
          <w:b/>
          <w:bCs/>
          <w:color w:val="2E75B6"/>
          <w:sz w:val="24"/>
          <w:szCs w:val="24"/>
        </w:rPr>
        <w:t xml:space="preserve">I7 — Out-of-Scope Legibility</w:t>
      </w:r>
    </w:p>
    <w:p>
      <w:pPr>
        <w:spacing w:after="100"/>
      </w:pPr>
      <w:r>
        <w:rPr>
          <w:rFonts w:ascii="Arial" w:cs="Arial" w:eastAsia="Arial" w:hAnsi="Arial"/>
          <w:sz w:val="22"/>
          <w:szCs w:val="22"/>
        </w:rPr>
        <w:t xml:space="preserve">Gaps between layers — topics, time windows, consequence paths not covered by any layer — must be nameable and present in the composed record without being silently absorbed into any layer’s coverage claim.</w:t>
      </w:r>
    </w:p>
    <w:p>
      <w:pPr>
        <w:spacing w:after="80"/>
      </w:pPr>
      <w:r>
        <w:rPr>
          <w:rFonts w:ascii="Arial" w:cs="Arial" w:eastAsia="Arial" w:hAnsi="Arial"/>
          <w:b/>
          <w:bCs/>
          <w:sz w:val="22"/>
          <w:szCs w:val="22"/>
        </w:rPr>
        <w:t xml:space="preserve">Non-claim: </w:t>
      </w:r>
      <w:r>
        <w:rPr>
          <w:rFonts w:ascii="Arial" w:cs="Arial" w:eastAsia="Arial" w:hAnsi="Arial"/>
          <w:sz w:val="22"/>
          <w:szCs w:val="22"/>
        </w:rPr>
        <w:t xml:space="preserve">This invariant does not require that every possible gap be identified. It requires that known or discoverable gaps not be silently absorbed.</w:t>
      </w:r>
    </w:p>
    <w:p>
      <w:pPr>
        <w:spacing w:after="60"/>
      </w:pPr>
    </w:p>
    <w:p>
      <w:pPr>
        <w:pStyle w:val="Heading2"/>
        <w:spacing w:after="80" w:before="200"/>
      </w:pPr>
      <w:r>
        <w:rPr>
          <w:rFonts w:ascii="Arial" w:cs="Arial" w:eastAsia="Arial" w:hAnsi="Arial"/>
          <w:b/>
          <w:bCs/>
          <w:color w:val="2E75B6"/>
          <w:sz w:val="24"/>
          <w:szCs w:val="24"/>
        </w:rPr>
        <w:t xml:space="preserve">I8 — Minimum Stitchability Standard ★</w:t>
      </w:r>
    </w:p>
    <w:p>
      <w:pPr>
        <w:spacing w:after="100"/>
      </w:pPr>
      <w:r>
        <w:rPr>
          <w:rFonts w:ascii="Arial" w:cs="Arial" w:eastAsia="Arial" w:hAnsi="Arial"/>
          <w:sz w:val="22"/>
          <w:szCs w:val="22"/>
        </w:rPr>
        <w:t xml:space="preserve">Every layer artifact must carry a decision_correlation_id, a declared event_window, a scope_hash, and an artifact_hash. Presence alone is not sufficient. The fields must be anchored:</w:t>
      </w:r>
    </w:p>
    <w:p>
      <w:pPr>
        <w:pStyle w:val="ListParagraph"/>
        <w:numPr>
          <w:ilvl w:val="0"/>
          <w:numId w:val="2"/>
        </w:numPr>
        <w:spacing w:after="60"/>
      </w:pPr>
      <w:r>
        <w:rPr>
          <w:rFonts w:ascii="Arial" w:cs="Arial" w:eastAsia="Arial" w:hAnsi="Arial"/>
          <w:sz w:val="22"/>
          <w:szCs w:val="22"/>
        </w:rPr>
        <w:t xml:space="preserve">decision_correlation_id must be event-bound and shared across all participating layers in the same event path</w:t>
      </w:r>
    </w:p>
    <w:p>
      <w:pPr>
        <w:pStyle w:val="ListParagraph"/>
        <w:numPr>
          <w:ilvl w:val="0"/>
          <w:numId w:val="2"/>
        </w:numPr>
        <w:spacing w:after="60"/>
      </w:pPr>
      <w:r>
        <w:rPr>
          <w:rFonts w:ascii="Arial" w:cs="Arial" w:eastAsia="Arial" w:hAnsi="Arial"/>
          <w:sz w:val="22"/>
          <w:szCs w:val="22"/>
        </w:rPr>
        <w:t xml:space="preserve">scope_hash must reference an independently retrievable scope document</w:t>
      </w:r>
    </w:p>
    <w:p>
      <w:pPr>
        <w:pStyle w:val="ListParagraph"/>
        <w:numPr>
          <w:ilvl w:val="0"/>
          <w:numId w:val="2"/>
        </w:numPr>
        <w:spacing w:after="60"/>
      </w:pPr>
      <w:r>
        <w:rPr>
          <w:rFonts w:ascii="Arial" w:cs="Arial" w:eastAsia="Arial" w:hAnsi="Arial"/>
          <w:sz w:val="22"/>
          <w:szCs w:val="22"/>
        </w:rPr>
        <w:t xml:space="preserve">event_window must be bounded tightly enough to isolate the referenced event</w:t>
      </w:r>
    </w:p>
    <w:p>
      <w:pPr>
        <w:pStyle w:val="ListParagraph"/>
        <w:numPr>
          <w:ilvl w:val="0"/>
          <w:numId w:val="2"/>
        </w:numPr>
        <w:spacing w:after="60"/>
      </w:pPr>
      <w:r>
        <w:rPr>
          <w:rFonts w:ascii="Arial" w:cs="Arial" w:eastAsia="Arial" w:hAnsi="Arial"/>
          <w:sz w:val="22"/>
          <w:szCs w:val="22"/>
        </w:rPr>
        <w:t xml:space="preserve">artifact_hash must hash the governed-state record, not merely the metadata envelope</w:t>
      </w:r>
    </w:p>
    <w:p>
      <w:pPr>
        <w:spacing w:after="60"/>
      </w:pPr>
    </w:p>
    <w:p>
      <w:pPr>
        <w:pBdr>
          <w:left w:val="single" w:color="2E75B6" w:sz="6" w:space="4"/>
        </w:pBdr>
        <w:spacing w:after="100"/>
        <w:ind w:left="720"/>
      </w:pPr>
      <w:r>
        <w:rPr>
          <w:rFonts w:ascii="Arial" w:cs="Arial" w:eastAsia="Arial" w:hAnsi="Arial"/>
          <w:i/>
          <w:iCs/>
          <w:color w:val="333333"/>
          <w:sz w:val="22"/>
          <w:szCs w:val="22"/>
        </w:rPr>
        <w:t xml:space="preserve">Until the Correlation Contract is canonicalized, the anchoring requirements stated in this invariant are self-executing — presence without anchoring is a violation of this invariant regardless of whether the Correlation Contract has been published.</w:t>
      </w:r>
    </w:p>
    <w:p>
      <w:pPr>
        <w:spacing w:after="60"/>
      </w:pPr>
    </w:p>
    <w:p>
      <w:pPr>
        <w:spacing w:after="80"/>
      </w:pPr>
      <w:r>
        <w:rPr>
          <w:rFonts w:ascii="Arial" w:cs="Arial" w:eastAsia="Arial" w:hAnsi="Arial"/>
          <w:b/>
          <w:bCs/>
          <w:sz w:val="22"/>
          <w:szCs w:val="22"/>
        </w:rPr>
        <w:t xml:space="preserve">Non-claim: </w:t>
      </w:r>
      <w:r>
        <w:rPr>
          <w:rFonts w:ascii="Arial" w:cs="Arial" w:eastAsia="Arial" w:hAnsi="Arial"/>
          <w:sz w:val="22"/>
          <w:szCs w:val="22"/>
        </w:rPr>
        <w:t xml:space="preserve">This invariant does not prescribe the format or naming of fields. Those belong to the Correlation Contract. It defines the floor below which an artifact becomes reviewer-opaque.</w:t>
      </w:r>
    </w:p>
    <w:p>
      <w:pPr>
        <w:pBdr>
          <w:left w:val="single" w:color="2E75B6" w:sz="6" w:space="4"/>
        </w:pBdr>
        <w:spacing w:after="100"/>
        <w:ind w:left="720"/>
      </w:pPr>
      <w:r>
        <w:rPr>
          <w:rFonts w:ascii="Arial" w:cs="Arial" w:eastAsia="Arial" w:hAnsi="Arial"/>
          <w:i/>
          <w:iCs/>
          <w:color w:val="333333"/>
          <w:sz w:val="22"/>
          <w:szCs w:val="22"/>
        </w:rPr>
        <w:t xml:space="preserve">★ Detection Limitation: Cross-layer correlation ID sharing cannot be verified from a single artifact in isolation. Reviewers need at least two artifacts from the same event path to detect unshared IDs.</w:t>
      </w:r>
    </w:p>
    <w:p>
      <w:pPr>
        <w:spacing w:after="60"/>
      </w:pPr>
    </w:p>
    <w:p>
      <w:pPr>
        <w:pStyle w:val="Heading2"/>
        <w:spacing w:after="80" w:before="200"/>
      </w:pPr>
      <w:r>
        <w:rPr>
          <w:rFonts w:ascii="Arial" w:cs="Arial" w:eastAsia="Arial" w:hAnsi="Arial"/>
          <w:b/>
          <w:bCs/>
          <w:color w:val="2E75B6"/>
          <w:sz w:val="24"/>
          <w:szCs w:val="24"/>
        </w:rPr>
        <w:t xml:space="preserve">I9 — Replay-Resistance Binding</w:t>
      </w:r>
    </w:p>
    <w:p>
      <w:pPr>
        <w:spacing w:after="100"/>
      </w:pPr>
      <w:r>
        <w:rPr>
          <w:rFonts w:ascii="Arial" w:cs="Arial" w:eastAsia="Arial" w:hAnsi="Arial"/>
          <w:sz w:val="22"/>
          <w:szCs w:val="22"/>
        </w:rPr>
        <w:t xml:space="preserve">A downstream decision artifact that consumes layer evidence must cryptographically bind to the specific evidence query — by hash and timestamp — that it consumed. The same evidence cannot be silently reused for a different decision.</w:t>
      </w:r>
    </w:p>
    <w:p>
      <w:pPr>
        <w:spacing w:after="80"/>
      </w:pPr>
      <w:r>
        <w:rPr>
          <w:rFonts w:ascii="Arial" w:cs="Arial" w:eastAsia="Arial" w:hAnsi="Arial"/>
          <w:b/>
          <w:bCs/>
          <w:sz w:val="22"/>
          <w:szCs w:val="22"/>
        </w:rPr>
        <w:t xml:space="preserve">Non-claim: </w:t>
      </w:r>
      <w:r>
        <w:rPr>
          <w:rFonts w:ascii="Arial" w:cs="Arial" w:eastAsia="Arial" w:hAnsi="Arial"/>
          <w:sz w:val="22"/>
          <w:szCs w:val="22"/>
        </w:rPr>
        <w:t xml:space="preserve">This invariant does not require referencing every piece of evidence. It requires binding for dispositive evidence.</w:t>
      </w:r>
    </w:p>
    <w:p>
      <w:pPr>
        <w:spacing w:after="60"/>
      </w:pPr>
    </w:p>
    <w:p>
      <w:pPr>
        <w:pStyle w:val="Heading2"/>
        <w:spacing w:after="80" w:before="200"/>
      </w:pPr>
      <w:r>
        <w:rPr>
          <w:rFonts w:ascii="Arial" w:cs="Arial" w:eastAsia="Arial" w:hAnsi="Arial"/>
          <w:b/>
          <w:bCs/>
          <w:color w:val="2E75B6"/>
          <w:sz w:val="24"/>
          <w:szCs w:val="24"/>
        </w:rPr>
        <w:t xml:space="preserve">I10 — Non-Claims Non-Propagation</w:t>
      </w:r>
    </w:p>
    <w:p>
      <w:pPr>
        <w:spacing w:after="100"/>
      </w:pPr>
      <w:r>
        <w:rPr>
          <w:rFonts w:ascii="Arial" w:cs="Arial" w:eastAsia="Arial" w:hAnsi="Arial"/>
          <w:sz w:val="22"/>
          <w:szCs w:val="22"/>
        </w:rPr>
        <w:t xml:space="preserve">A layer that cites another layer’s non-claims does not thereby inherit, adopt, or satisfy those non-claims for its own artifact. Reference is not delegation.</w:t>
      </w:r>
    </w:p>
    <w:p>
      <w:pPr>
        <w:spacing w:after="80"/>
      </w:pPr>
      <w:r>
        <w:rPr>
          <w:rFonts w:ascii="Arial" w:cs="Arial" w:eastAsia="Arial" w:hAnsi="Arial"/>
          <w:b/>
          <w:bCs/>
          <w:sz w:val="22"/>
          <w:szCs w:val="22"/>
        </w:rPr>
        <w:t xml:space="preserve">Non-claim: </w:t>
      </w:r>
      <w:r>
        <w:rPr>
          <w:rFonts w:ascii="Arial" w:cs="Arial" w:eastAsia="Arial" w:hAnsi="Arial"/>
          <w:sz w:val="22"/>
          <w:szCs w:val="22"/>
        </w:rPr>
        <w:t xml:space="preserve">This invariant does not prohibit cross-referencing non-claims for clarity. It prohibits using another layer’s non-claims as a substitute for one’s own.</w:t>
      </w:r>
    </w:p>
    <w:p>
      <w:pPr>
        <w:pBdr>
          <w:bottom w:val="single" w:color="CCCCCC" w:sz="4" w:space="1"/>
        </w:pBdr>
        <w:spacing w:after="160" w:before="160"/>
      </w:pPr>
    </w:p>
    <w:p>
      <w:pPr>
        <w:pStyle w:val="Heading1"/>
        <w:spacing w:after="120" w:before="280"/>
      </w:pPr>
      <w:r>
        <w:rPr>
          <w:rFonts w:ascii="Arial" w:cs="Arial" w:eastAsia="Arial" w:hAnsi="Arial"/>
          <w:b/>
          <w:bCs/>
          <w:color w:val="1F4E79"/>
          <w:sz w:val="28"/>
          <w:szCs w:val="28"/>
        </w:rPr>
        <w:t xml:space="preserve">What This List Does Not Do</w:t>
      </w:r>
    </w:p>
    <w:p>
      <w:pPr>
        <w:pStyle w:val="ListParagraph"/>
        <w:numPr>
          <w:ilvl w:val="0"/>
          <w:numId w:val="2"/>
        </w:numPr>
        <w:spacing w:after="60"/>
      </w:pPr>
      <w:r>
        <w:rPr>
          <w:rFonts w:ascii="Arial" w:cs="Arial" w:eastAsia="Arial" w:hAnsi="Arial"/>
          <w:sz w:val="22"/>
          <w:szCs w:val="22"/>
        </w:rPr>
        <w:t xml:space="preserve">Does not certify that any layer’s output is correct, sufficient, or compliant</w:t>
      </w:r>
    </w:p>
    <w:p>
      <w:pPr>
        <w:pStyle w:val="ListParagraph"/>
        <w:numPr>
          <w:ilvl w:val="0"/>
          <w:numId w:val="2"/>
        </w:numPr>
        <w:spacing w:after="60"/>
      </w:pPr>
      <w:r>
        <w:rPr>
          <w:rFonts w:ascii="Arial" w:cs="Arial" w:eastAsia="Arial" w:hAnsi="Arial"/>
          <w:sz w:val="22"/>
          <w:szCs w:val="22"/>
        </w:rPr>
        <w:t xml:space="preserve">Does not prescribe positive behavior — each invariant is a prohibition, not a design specification</w:t>
      </w:r>
    </w:p>
    <w:p>
      <w:pPr>
        <w:pStyle w:val="ListParagraph"/>
        <w:numPr>
          <w:ilvl w:val="0"/>
          <w:numId w:val="2"/>
        </w:numPr>
        <w:spacing w:after="60"/>
      </w:pPr>
      <w:r>
        <w:rPr>
          <w:rFonts w:ascii="Arial" w:cs="Arial" w:eastAsia="Arial" w:hAnsi="Arial"/>
          <w:sz w:val="22"/>
          <w:szCs w:val="22"/>
        </w:rPr>
        <w:t xml:space="preserve">Does not create obligations between layers</w:t>
      </w:r>
    </w:p>
    <w:p>
      <w:pPr>
        <w:pStyle w:val="ListParagraph"/>
        <w:numPr>
          <w:ilvl w:val="0"/>
          <w:numId w:val="2"/>
        </w:numPr>
        <w:spacing w:after="60"/>
      </w:pPr>
      <w:r>
        <w:rPr>
          <w:rFonts w:ascii="Arial" w:cs="Arial" w:eastAsia="Arial" w:hAnsi="Arial"/>
          <w:sz w:val="22"/>
          <w:szCs w:val="22"/>
        </w:rPr>
        <w:t xml:space="preserve">Does not become a conformance checklist</w:t>
      </w:r>
    </w:p>
    <w:p>
      <w:pPr>
        <w:pStyle w:val="ListParagraph"/>
        <w:numPr>
          <w:ilvl w:val="0"/>
          <w:numId w:val="2"/>
        </w:numPr>
        <w:spacing w:after="60"/>
      </w:pPr>
      <w:r>
        <w:rPr>
          <w:rFonts w:ascii="Arial" w:cs="Arial" w:eastAsia="Arial" w:hAnsi="Arial"/>
          <w:sz w:val="22"/>
          <w:szCs w:val="22"/>
        </w:rPr>
        <w:t xml:space="preserve">Does not replace the Correlation Contract, the Divergence Event Record, or the Layer Non-Claims Matrix</w:t>
      </w:r>
    </w:p>
    <w:p>
      <w:pPr>
        <w:pBdr>
          <w:bottom w:val="single" w:color="CCCCCC" w:sz="4" w:space="1"/>
        </w:pBdr>
        <w:spacing w:after="160" w:before="160"/>
      </w:pPr>
    </w:p>
    <w:p>
      <w:pPr>
        <w:pStyle w:val="Heading1"/>
        <w:spacing w:after="120" w:before="280"/>
      </w:pPr>
      <w:r>
        <w:rPr>
          <w:rFonts w:ascii="Arial" w:cs="Arial" w:eastAsia="Arial" w:hAnsi="Arial"/>
          <w:b/>
          <w:bCs/>
          <w:color w:val="1F4E79"/>
          <w:sz w:val="28"/>
          <w:szCs w:val="28"/>
        </w:rPr>
        <w:t xml:space="preserve">Relationship to Other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Artifact</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Relationship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Correlation Contract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Must satisfy I1, I4, I6, and I8. Must not violate I2, I3, I5, I7, I9, or I10.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Divergence Event Record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Must satisfy I5. Must not violate I3 or I10.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Layer Non-Claims Matrix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Must satisfy I10. Must not violate I1, I2, or I3.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Review Bundle Map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Must satisfy I2, I4, I6, and I7. Must not violate I3 or I10.</w:t>
            </w:r>
          </w:p>
        </w:tc>
      </w:tr>
    </w:tbl>
    <w:p>
      <w:pPr>
        <w:pBdr>
          <w:bottom w:val="single" w:color="CCCCCC" w:sz="4" w:space="1"/>
        </w:pBdr>
        <w:spacing w:after="160" w:before="160"/>
      </w:pPr>
    </w:p>
    <w:p>
      <w:pPr>
        <w:spacing w:after="80"/>
      </w:pPr>
      <w:r>
        <w:rPr>
          <w:rFonts w:ascii="Arial" w:cs="Arial" w:eastAsia="Arial" w:hAnsi="Arial"/>
          <w:i/>
          <w:iCs/>
          <w:color w:val="555555"/>
          <w:sz w:val="22"/>
          <w:szCs w:val="22"/>
        </w:rPr>
        <w:t xml:space="preserve">Non-Collapse Invariant List v0.1 — Canonical</w:t>
      </w:r>
    </w:p>
    <w:p>
      <w:pPr>
        <w:spacing w:after="80"/>
      </w:pPr>
      <w:r>
        <w:rPr>
          <w:rFonts w:ascii="Arial" w:cs="Arial" w:eastAsia="Arial" w:hAnsi="Arial"/>
          <w:i/>
          <w:iCs/>
          <w:color w:val="555555"/>
          <w:sz w:val="22"/>
          <w:szCs w:val="22"/>
        </w:rPr>
        <w:t xml:space="preserve">Seam Discipline — Composition Seam Discipline</w:t>
      </w:r>
    </w:p>
    <w:p>
      <w:pPr>
        <w:spacing w:after="80"/>
      </w:pPr>
      <w:r>
        <w:rPr>
          <w:rFonts w:ascii="Arial" w:cs="Arial" w:eastAsia="Arial" w:hAnsi="Arial"/>
          <w:i/>
          <w:iCs/>
          <w:color w:val="555555"/>
          <w:sz w:val="22"/>
          <w:szCs w:val="22"/>
        </w:rPr>
        <w:t xml:space="preserve">ASRO™ is a trademark of MagicianzCardstock LLC. Serial No. 99827630.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2026-05-31T11:41:56.034Z</dcterms:created>
  <dcterms:modified xsi:type="dcterms:W3CDTF">2026-05-31T11:41:56.050Z</dcterms:modified>
</cp:coreProperties>
</file>

<file path=docProps/custom.xml><?xml version="1.0" encoding="utf-8"?>
<Properties xmlns="http://schemas.openxmlformats.org/officeDocument/2006/custom-properties" xmlns:vt="http://schemas.openxmlformats.org/officeDocument/2006/docPropsVTypes"/>
</file>