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79"/>
          <w:sz w:val="40"/>
          <w:szCs w:val="40"/>
        </w:rPr>
        <w:t xml:space="preserve">Divergence Event Record v0.5.1</w:t>
      </w:r>
    </w:p>
    <w:p>
      <w:pPr>
        <w:spacing w:after="60"/>
      </w:pPr>
      <w:r>
        <w:rPr>
          <w:rFonts w:ascii="Arial" w:cs="Arial" w:eastAsia="Arial" w:hAnsi="Arial"/>
          <w:b/>
          <w:bCs/>
          <w:sz w:val="28"/>
          <w:szCs w:val="28"/>
        </w:rPr>
        <w:t xml:space="preserve">Seam Discipline — Cross-Deployer Divergence Specification</w:t>
      </w:r>
    </w:p>
    <w:p>
      <w:pPr>
        <w:spacing w:after="80"/>
      </w:pPr>
      <w:r>
        <w:rPr>
          <w:rFonts w:ascii="Arial" w:cs="Arial" w:eastAsia="Arial" w:hAnsi="Arial"/>
          <w:i/>
          <w:iCs/>
          <w:color w:val="555555"/>
          <w:sz w:val="22"/>
          <w:szCs w:val="22"/>
        </w:rPr>
        <w:t xml:space="preserve">Authority: James Aull / MagicianzCardstock LLC</w:t>
      </w:r>
    </w:p>
    <w:p>
      <w:pPr>
        <w:spacing w:after="80"/>
      </w:pPr>
      <w:r>
        <w:rPr>
          <w:rFonts w:ascii="Arial" w:cs="Arial" w:eastAsia="Arial" w:hAnsi="Arial"/>
          <w:i/>
          <w:iCs/>
          <w:color w:val="555555"/>
          <w:sz w:val="22"/>
          <w:szCs w:val="22"/>
        </w:rPr>
        <w:t xml:space="preserve">Date: May 27, 2026 | Updated: June 1, 2026</w:t>
      </w:r>
    </w:p>
    <w:p>
      <w:pPr>
        <w:spacing w:after="80"/>
      </w:pPr>
      <w:r>
        <w:rPr>
          <w:rFonts w:ascii="Arial" w:cs="Arial" w:eastAsia="Arial" w:hAnsi="Arial"/>
          <w:i/>
          <w:iCs/>
          <w:color w:val="555555"/>
          <w:sz w:val="22"/>
          <w:szCs w:val="22"/>
        </w:rPr>
        <w:t xml:space="preserve">Status: Canonical v0.5.1 — EVIDE_CLOSURE artifact tag removed pending owner authorization</w:t>
      </w:r>
    </w:p>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Non-Causal Statement</w:t>
      </w:r>
    </w:p>
    <w:p>
      <w:pPr>
        <w:pBdr>
          <w:left w:val="single" w:color="2E75B6" w:sz="6" w:space="4"/>
        </w:pBdr>
        <w:spacing w:after="100"/>
        <w:ind w:left="720"/>
      </w:pPr>
      <w:r>
        <w:rPr>
          <w:rFonts w:ascii="Arial" w:cs="Arial" w:eastAsia="Arial" w:hAnsi="Arial"/>
          <w:i/>
          <w:iCs/>
          <w:color w:val="333333"/>
          <w:sz w:val="22"/>
          <w:szCs w:val="22"/>
        </w:rPr>
        <w:t xml:space="preserve">The Divergence Event Record is categorically non-causal. It does not sit one step before enforcement, halt, or control. It has no causal relationship with runtime execution. It is a passive, reviewer-side forensic witness record.</w:t>
      </w:r>
    </w:p>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Purpose</w:t>
      </w:r>
    </w:p>
    <w:p>
      <w:pPr>
        <w:spacing w:after="100"/>
      </w:pPr>
      <w:r>
        <w:rPr>
          <w:rFonts w:ascii="Arial" w:cs="Arial" w:eastAsia="Arial" w:hAnsi="Arial"/>
          <w:sz w:val="22"/>
          <w:szCs w:val="22"/>
        </w:rPr>
        <w:t xml:space="preserve">The Divergence Event Record preserves evidence that independently governed artifacts do not compose cleanly. It records structural mismatch as independently reviewable evidence. It does not resolve mismatch. It does not assign response authority. It does not select the correct deployer.</w:t>
      </w:r>
    </w:p>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Controlling Invariant</w:t>
      </w:r>
    </w:p>
    <w:p>
      <w:pPr>
        <w:pBdr>
          <w:left w:val="single" w:color="2E75B6" w:sz="6" w:space="4"/>
        </w:pBdr>
        <w:spacing w:after="100"/>
        <w:ind w:left="720"/>
      </w:pPr>
      <w:r>
        <w:rPr>
          <w:rFonts w:ascii="Arial" w:cs="Arial" w:eastAsia="Arial" w:hAnsi="Arial"/>
          <w:i/>
          <w:iCs/>
          <w:color w:val="333333"/>
          <w:sz w:val="22"/>
          <w:szCs w:val="22"/>
        </w:rPr>
        <w:t xml:space="preserve">Divergence detection is not response authority assignment. The discipline preserves the question; it does not answer it.</w:t>
      </w:r>
    </w:p>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Divergence Nature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Code</w:t>
            </w:r>
          </w:p>
        </w:tc>
        <w:tc>
          <w:tcPr>
            <w:tcW w:type="dxa" w:w="5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SCOPE_HASH_CONFLICT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Scope hashes conflict across compared artifacts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EVENT_WINDOW_DISCONTINUITY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Event windows do not overlap or isolate the same event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GOVERNED_STATE_MISMATCH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Declared governed states do not align across artifacts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STALE_UPSTREAM_REFERENCE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A reference points to an artifact that is no longer current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AUTHORITY_POSTURE_DECLARATION_MISMATCH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Compared artifacts declare incompatible authority postures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CONTEXT_DECOUPLING_DETECTED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Artifacts appear to reference different deployment contexts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UNANCHORED_CORRELATION_ID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Correlation ID is present but not shared across participating layers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UNRETRIEVABLE_SCOPE_OBJECT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Scope document referenced by scope_hash is not independently retrievable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ARTIFACT_HASH_TARGET_MISMATCH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Artifact hash does not match the governed-state record content</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TIMESTAMP_TYPE_MISMATCH</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witness_timestamp and commitment_timestamp types differ across artifacts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1F4E79"/>
                <w:sz w:val="17"/>
                <w:szCs w:val="17"/>
              </w:rPr>
              <w:t xml:space="preserve">OVERBROAD_EVENT_WINDOW</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Event window is too broad to isolate the specific event</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1F4E79"/>
                <w:sz w:val="17"/>
                <w:szCs w:val="17"/>
              </w:rPr>
              <w:t xml:space="preserve">NON_CLAIMS_REFERENCE_DRIFT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Non-claims are cited by reference rather than stated independently</w:t>
            </w:r>
          </w:p>
        </w:tc>
      </w:tr>
    </w:tbl>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artifact_type_tag Values</w:t>
      </w:r>
    </w:p>
    <w:p>
      <w:pPr>
        <w:spacing w:after="100"/>
      </w:pPr>
      <w:r>
        <w:rPr>
          <w:rFonts w:ascii="Arial" w:cs="Arial" w:eastAsia="Arial" w:hAnsi="Arial"/>
          <w:sz w:val="22"/>
          <w:szCs w:val="22"/>
        </w:rPr>
        <w:t xml:space="preserve">The following artifact type tags are currently supported in the schema. Additional tags may be added when layer owners authorize inclusion.</w:t>
      </w:r>
    </w:p>
    <w:p>
      <w:pPr>
        <w:spacing w:after="60"/>
      </w:pPr>
    </w:p>
    <w:p>
      <w:pPr>
        <w:pStyle w:val="ListParagraph"/>
        <w:numPr>
          <w:ilvl w:val="0"/>
          <w:numId w:val="2"/>
        </w:numPr>
        <w:spacing w:after="60"/>
      </w:pPr>
      <w:r>
        <w:rPr>
          <w:rFonts w:ascii="Arial" w:cs="Arial" w:eastAsia="Arial" w:hAnsi="Arial"/>
          <w:sz w:val="22"/>
          <w:szCs w:val="22"/>
        </w:rPr>
        <w:t xml:space="preserve">ASRO_WITNESS_V02</w:t>
      </w:r>
    </w:p>
    <w:p>
      <w:pPr>
        <w:pStyle w:val="ListParagraph"/>
        <w:numPr>
          <w:ilvl w:val="0"/>
          <w:numId w:val="2"/>
        </w:numPr>
        <w:spacing w:after="60"/>
      </w:pPr>
      <w:r>
        <w:rPr>
          <w:rFonts w:ascii="Arial" w:cs="Arial" w:eastAsia="Arial" w:hAnsi="Arial"/>
          <w:sz w:val="22"/>
          <w:szCs w:val="22"/>
        </w:rPr>
        <w:t xml:space="preserve">FLOWSIGNAL_ADMISSIBILITY_V01</w:t>
      </w:r>
    </w:p>
    <w:p>
      <w:pPr>
        <w:pStyle w:val="ListParagraph"/>
        <w:numPr>
          <w:ilvl w:val="0"/>
          <w:numId w:val="2"/>
        </w:numPr>
        <w:spacing w:after="60"/>
      </w:pPr>
      <w:r>
        <w:rPr>
          <w:rFonts w:ascii="Arial" w:cs="Arial" w:eastAsia="Arial" w:hAnsi="Arial"/>
          <w:sz w:val="22"/>
          <w:szCs w:val="22"/>
        </w:rPr>
        <w:t xml:space="preserve">MIR_PREBIND_V01</w:t>
      </w:r>
    </w:p>
    <w:p>
      <w:pPr>
        <w:spacing w:after="60"/>
      </w:pPr>
    </w:p>
    <w:p>
      <w:pPr>
        <w:spacing w:after="80"/>
      </w:pPr>
      <w:r>
        <w:rPr>
          <w:rFonts w:ascii="Arial" w:cs="Arial" w:eastAsia="Arial" w:hAnsi="Arial"/>
          <w:i/>
          <w:iCs/>
          <w:color w:val="555555"/>
          <w:sz w:val="22"/>
          <w:szCs w:val="22"/>
        </w:rPr>
        <w:t xml:space="preserve">Note: EVIDE_CLOSURE tag removed June 1, 2026 pending owner authorization from Emanuel Celano / Informatica in Azienda.</w:t>
      </w:r>
    </w:p>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Non-Claims Block (10 Non-Claims)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Non-Claim</w:t>
            </w:r>
          </w:p>
        </w:tc>
        <w:tc>
          <w:tcPr>
            <w:tcW w:type="dxa" w:w="6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NO_EXECUTION_HALT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Categorically separate from execution control; does not trigger runtime gates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NO_ADMISSIBILITY_JUDGMENT</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Registers structural mismatch only; neutral on downstream validity or acceptability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NO_LIABILITY_ASSIGNMENT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Does not assign fault, blame, error accountability, or liability to any deployer</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NO_PERMISSIVE_AUTHORIZATION</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Never constitutes an operational continuation token or compliance verification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NO_RESPONSE_AUTHORITY_ASSIGNMENT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Does not decide which deployer is correct or who has authority over both deployers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NO_CORRECTNESS_JUDGMENT</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Does not evaluate whether operational behavior was substantively correct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NO_COMPLIANCE_CERTIFICATION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Never constitutes a regulatory stamp, certificate of compliance, or standards clearance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NO_CONTINUATION_PERMISSION</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Cannot be leveraged as an implicit token of permissive continuation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NO_RUNTIME_COORDINATION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Zero operational surface area within active runtime pipelines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18"/>
                <w:szCs w:val="18"/>
              </w:rPr>
              <w:t xml:space="preserve">NO_SOURCE_OF_TRUTH_SELECTION</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Does not resolve contradictions by choosing a canonical winning layer</w:t>
            </w:r>
          </w:p>
        </w:tc>
      </w:tr>
    </w:tbl>
    <w:p>
      <w:pPr>
        <w:pBdr>
          <w:bottom w:val="single" w:color="CCCCCC" w:sz="4" w:space="1"/>
        </w:pBdr>
        <w:spacing w:after="160" w:before="160"/>
      </w:pPr>
    </w:p>
    <w:p>
      <w:pPr>
        <w:pStyle w:val="Heading1"/>
        <w:spacing w:after="120" w:before="280"/>
      </w:pPr>
      <w:r>
        <w:rPr>
          <w:rFonts w:ascii="Arial" w:cs="Arial" w:eastAsia="Arial" w:hAnsi="Arial"/>
          <w:b/>
          <w:bCs/>
          <w:color w:val="1F4E79"/>
          <w:sz w:val="28"/>
          <w:szCs w:val="28"/>
        </w:rPr>
        <w:t xml:space="preserve">Key Schema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Field</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Type</w:t>
            </w:r>
          </w:p>
        </w:tc>
        <w:tc>
          <w:tcPr>
            <w:tcW w:type="dxa" w:w="4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rFonts w:ascii="Arial" w:cs="Arial" w:eastAsia="Arial" w:hAnsi="Arial"/>
                <w:b/>
                <w:bCs/>
                <w:color w:val="FFFFFF"/>
                <w:sz w:val="17"/>
                <w:szCs w:val="17"/>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divergence_record_ref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UUID</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Unique identifier for this observation record, produced reviewer-side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sz w:val="17"/>
                <w:szCs w:val="17"/>
              </w:rPr>
              <w:t xml:space="preserve">decision_correlation_id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UUID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Event-bound shared identifier; must match across all evaluated records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divergence_nature_code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enum (12 codes)</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Classification of the architectural mismatch observed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sz w:val="17"/>
                <w:szCs w:val="17"/>
              </w:rPr>
              <w:t xml:space="preserve">external_jurisdiction_documented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boolean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Whether an external governance boundary is documented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declared_response_authority_status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enum</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NO_DECLARED_RESPONSE_AUTHORITY or EXTERNAL_RESPONSE_AUTHORITY_DOCUMENTED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sz w:val="17"/>
                <w:szCs w:val="17"/>
              </w:rPr>
              <w:t xml:space="preserve">resolution_status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enum</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unresolved | referred_to_declared_response_authority | closed_by_external_authority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witness_timestamp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ISO 8601</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When the governed-state condition was witnessed by the primitive layer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sz w:val="17"/>
                <w:szCs w:val="17"/>
              </w:rPr>
              <w:t xml:space="preserve">commitment_timestamp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ISO 8601</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When the artifact was cryptographically committed to the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declared_event_window</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object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start_time and end_time bounding the specific event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sz w:val="17"/>
                <w:szCs w:val="17"/>
              </w:rPr>
              <w:t xml:space="preserve">scope_document_hash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SHA-256</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7"/>
                <w:szCs w:val="17"/>
              </w:rPr>
              <w:t xml:space="preserve">Hash of independently retrievable scope policy document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7"/>
                <w:szCs w:val="17"/>
              </w:rPr>
              <w:t xml:space="preserve">declared_response_authority_ref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string|null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7"/>
                <w:szCs w:val="17"/>
              </w:rPr>
              <w:t xml:space="preserve">Reference to externally declared response authority, if one exists</w:t>
            </w:r>
          </w:p>
        </w:tc>
      </w:tr>
    </w:tbl>
    <w:p>
      <w:pPr>
        <w:pBdr>
          <w:bottom w:val="single" w:color="CCCCCC" w:sz="4" w:space="1"/>
        </w:pBdr>
        <w:spacing w:after="160" w:before="160"/>
      </w:pPr>
    </w:p>
    <w:p>
      <w:pPr>
        <w:spacing w:after="80"/>
      </w:pPr>
      <w:r>
        <w:rPr>
          <w:rFonts w:ascii="Arial" w:cs="Arial" w:eastAsia="Arial" w:hAnsi="Arial"/>
          <w:i/>
          <w:iCs/>
          <w:color w:val="555555"/>
          <w:sz w:val="22"/>
          <w:szCs w:val="22"/>
        </w:rPr>
        <w:t xml:space="preserve">Divergence Event Record v0.5.1 — EVIDE_CLOSURE tag removed June 1, 2026 pending owner authorization</w:t>
      </w:r>
    </w:p>
    <w:p>
      <w:pPr>
        <w:spacing w:after="80"/>
      </w:pPr>
      <w:r>
        <w:rPr>
          <w:rFonts w:ascii="Arial" w:cs="Arial" w:eastAsia="Arial" w:hAnsi="Arial"/>
          <w:i/>
          <w:iCs/>
          <w:color w:val="555555"/>
          <w:sz w:val="22"/>
          <w:szCs w:val="22"/>
        </w:rPr>
        <w:t xml:space="preserve">Seam Discipline — Composition Seam Discipline</w:t>
      </w:r>
    </w:p>
    <w:p>
      <w:pPr>
        <w:spacing w:after="80"/>
      </w:pPr>
      <w:r>
        <w:rPr>
          <w:rFonts w:ascii="Arial" w:cs="Arial" w:eastAsia="Arial" w:hAnsi="Arial"/>
          <w:i/>
          <w:iCs/>
          <w:color w:val="555555"/>
          <w:sz w:val="22"/>
          <w:szCs w:val="22"/>
        </w:rPr>
        <w:t xml:space="preserve">ASRO™ is a trademark of MagicianzCardstock LLC. Serial No. 99827630.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2026-06-01T09:18:52.282Z</dcterms:created>
  <dcterms:modified xsi:type="dcterms:W3CDTF">2026-06-01T09:18:52.283Z</dcterms:modified>
</cp:coreProperties>
</file>

<file path=docProps/custom.xml><?xml version="1.0" encoding="utf-8"?>
<Properties xmlns="http://schemas.openxmlformats.org/officeDocument/2006/custom-properties" xmlns:vt="http://schemas.openxmlformats.org/officeDocument/2006/docPropsVTypes"/>
</file>