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F4E79"/>
          <w:sz w:val="40"/>
          <w:szCs w:val="40"/>
        </w:rPr>
        <w:t xml:space="preserve">Layer Non-Claims Matrix v0.1</w:t>
      </w:r>
    </w:p>
    <w:p>
      <w:pPr>
        <w:spacing w:after="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Seam Discipline — Composition Seam Discipline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Authority: James Aull / MagicianzCardstock LLC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Date: May 27, 2026 | Updated: June 1, 2026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Status: Canonical v0.1 — ASRO rows final; MIR, FlowSignal, and Reviewability Conditions rows provisional; EVIDE removed pending owner authorization</w:t>
      </w:r>
    </w:p>
    <w:p>
      <w:pPr>
        <w:pBdr>
          <w:bottom w:val="single" w:color="CCCCCC" w:sz="4" w:space="1"/>
        </w:pBdr>
        <w:spacing w:after="160" w:before="160"/>
      </w:pP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Document Non-Claims</w:t>
      </w:r>
    </w:p>
    <w:p>
      <w:pPr>
        <w:pBdr>
          <w:left w:val="single" w:color="2E75B6" w:sz="6" w:space="4"/>
        </w:pBdr>
        <w:spacing w:after="100"/>
        <w:ind w:left="720"/>
      </w:pPr>
      <w:r>
        <w:rPr>
          <w:rFonts w:ascii="Arial" w:cs="Arial" w:eastAsia="Arial" w:hAnsi="Arial"/>
          <w:i/>
          <w:iCs/>
          <w:color w:val="333333"/>
          <w:sz w:val="22"/>
          <w:szCs w:val="22"/>
        </w:rPr>
        <w:t xml:space="preserve">This matrix does not certify that any layer is compliant, does not authorize any layer to act, and does not constitute a governance decision. It is a reference document for reviewer-side verification of explicit non-claims. Citing this matrix does not satisfy a layer’s obligation to state its own non-claims.</w:t>
      </w:r>
    </w:p>
    <w:p>
      <w:pPr>
        <w:pBdr>
          <w:bottom w:val="single" w:color="CCCCCC" w:sz="4" w:space="1"/>
        </w:pBdr>
        <w:spacing w:after="160" w:before="160"/>
      </w:pP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Anchor Invariant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Non-claims do not propagate by reference. A layer that cites another layer’s non-claims does not thereby inherit those non-claims for its own artifact. Each primitive must state its own negative surface explicitly.</w:t>
      </w:r>
    </w:p>
    <w:p>
      <w:pPr>
        <w:pBdr>
          <w:bottom w:val="single" w:color="CCCCCC" w:sz="4" w:space="1"/>
        </w:pBdr>
        <w:spacing w:after="160" w:before="160"/>
      </w:pP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Field Reference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Where this matrix references Correlation Contract concepts, the canonical field names are: decision_correlation_id, event_window, scope_hash, artifact_hash, and alignment_determination_basis.</w:t>
      </w:r>
    </w:p>
    <w:p>
      <w:pPr>
        <w:pBdr>
          <w:bottom w:val="single" w:color="CCCCCC" w:sz="4" w:space="1"/>
        </w:pBdr>
        <w:spacing w:after="160" w:before="160"/>
      </w:pP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Matrix</w:t>
      </w:r>
    </w:p>
    <w:p>
      <w:pPr>
        <w:spacing w:after="60"/>
      </w:pPr>
    </w:p>
    <w:tbl>
      <w:tblPr>
        <w:tblW w:type="dxa" w:w="1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700"/>
        <w:gridCol w:w="2700"/>
        <w:gridCol w:w="2700"/>
        <w:gridCol w:w="2700"/>
      </w:tblGrid>
      <w:tr>
        <w:trPr>
          <w:tblHeader/>
        </w:trPr>
        <w:tc>
          <w:tcPr>
            <w:tcW w:type="dxa" w:w="22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Primitive</w:t>
            </w:r>
          </w:p>
        </w:tc>
        <w:tc>
          <w:tcPr>
            <w:tcW w:type="dxa" w:w="27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Does NOT Decide</w:t>
            </w:r>
          </w:p>
        </w:tc>
        <w:tc>
          <w:tcPr>
            <w:tcW w:type="dxa" w:w="27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Does NOT Authorize</w:t>
            </w:r>
          </w:p>
        </w:tc>
        <w:tc>
          <w:tcPr>
            <w:tcW w:type="dxa" w:w="27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Does NOT Enforce</w:t>
            </w:r>
          </w:p>
        </w:tc>
        <w:tc>
          <w:tcPr>
            <w:tcW w:type="dxa" w:w="27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Does NOT Validate or Certify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ASRO — Witness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Admissibility, liability, safety, policy correctness, legal authority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Execution, continuation, consequence binding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Runtime mutation, response enforcement, regulatory filing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Semantic truth, structural correctness, behavioral compliance, model internals, human oversight accuracy. ASRO records and reports witness-surface conditions only.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MIR — Substrate / History (provisional)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Admissibility, witness status, evidentiary closure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Use of history as permission, replay as authorization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Retention policy, deletion, alteration of substrate records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Completeness of history, authenticity beyond cryptographic hash, intent of actions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FlowSignal — Admissibility (provisional)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Witness status, truth of outputs, safety certification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Long-term permission, policy correctness, legal compliance beyond immediate action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Post-action evidentiary closure, ongoing monitoring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Correctness of upstream witness records, completeness of evidence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Reviewability Conditions (provisional)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Admissibility, witness validity, closure status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Use of reviewability as authorization to proceed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Enforcement of review outcomes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Sufficiency of evidence for any specific decision</w:t>
            </w:r>
          </w:p>
        </w:tc>
      </w:tr>
    </w:tbl>
    <w:p>
      <w:pPr>
        <w:pBdr>
          <w:bottom w:val="single" w:color="CCCCCC" w:sz="4" w:space="1"/>
        </w:pBdr>
        <w:spacing w:after="160" w:before="160"/>
      </w:pP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ASRO Reference Standard (Final)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Witness Record Non-Claims (13): DOES_NOT_CERTIFY_SAFETY · DOES_NOT_JUDGE_TRUTH · DOES_NOT_VERIFY_BEHAVIORAL_COMPLIANCE · DOES_NOT_RESOLVE_LIABILITY · DOES_NOT_DECIDE_ADMISSIBILITY · DOES_NOT_ENFORCE_EXECUTION · DOES_NOT_VERIFY_MODEL_INTERNALS · DOES_NOT_GUARANTEE_POLICY_CORRECTNESS · DOES_NOT_VERIFY_LEGAL_AUTHORITY · DOES_NOT_VERIFY_HUMAN_OVERSIGHT_ACCURACY · DOES_NOT_REPLACE_EXTERNAL_GOVERNANCE_REVIEW · DOES_NOT_BECOME_CONTINUATION_AUTHORITY · ATTESTS_GOVERNED_STATE_CONTINUITY_ONLY</w:t>
      </w:r>
    </w:p>
    <w:p>
      <w:pPr>
        <w:spacing w:after="60"/>
      </w:pP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Signal Non-Claims (9): NO_ADMISSIBILITY_DECISION · NO_AUTHORITY_RESOLUTION · NO_EXECUTION_CONTROL · NO_RUNTIME_MUTATION · NO_CORRECTNESS_JUDGMENT · NO_REGULATORY_FILING · NO_SEVERITY_JUDGMENT · NO_RESPONSE_ENFORCEMENT · NO_CONTINUITY_AUTHORITY_TRANSFER</w:t>
      </w:r>
    </w:p>
    <w:p>
      <w:pPr>
        <w:pBdr>
          <w:bottom w:val="single" w:color="CCCCCC" w:sz="4" w:space="1"/>
        </w:pBdr>
        <w:spacing w:after="160" w:before="160"/>
      </w:pPr>
    </w:p>
    <w:p>
      <w:pPr>
        <w:spacing w:after="8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Layer Non-Claims Matrix v0.1 — EVIDE removed pending owner authorization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Seam Discipline — Composition Seam Discipline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ASRO™ is a trademark of MagicianzCardstock LLC. Serial No. 99827630.</w:t>
      </w:r>
    </w:p>
    <w:sectPr>
      <w:pgSz w:w="15840" w:h="122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2026-06-01T09:17:50.647Z</dcterms:created>
  <dcterms:modified xsi:type="dcterms:W3CDTF">2026-06-01T09:17:50.661Z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