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3e50"/>
          <w:rtl w:val="0"/>
        </w:rPr>
        <w:t xml:space="preserve">เอกสารเกณฑ์การกำกับดูแลและการป้องกันการทุจริต (Compliance &amp; Anti-Fraud Specification)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รหัสโครงการ: PRD-2026-WL-FLEX | ชื่อผลิตภัณฑ์: FutureShield 99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จัดทำโดย: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ทีมกำกับดูแลการปฏิบัติงานและกฎหมาย (Compliance &amp; Legal Team)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วันที่อัปเดตล่าสุด: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มิถุนายน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1: การกำกับดูแลเอกสารและข้อกำหนดทางกฎหมาย (Document Compliance)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เพื่อให้เป็นไปตามข้อกำหนดของสำนักงานคณะกรรมการกำกับและส่งเสริมการประกอบธุรกิจประกันภัย (คปภ.) เอกสารชุดนี้กำหนดเงื่อนไขมาตรฐานความเป็นธรรมทางกฎหมาย และการคุ้มครองสิทธิของผู้บริโภคยุคดิจิทัลอย่างเคร่งครัด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1.1 เงื่อนไขมาตรฐานและระยะเวลาสิทธิบอกเลิกกรมธรรม์ (Standard Provisions)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หัวข้อทางกฎหมาย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ระยะเวลา/เกณฑ์กำหนด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หน่วย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คำอธิบายและการบังคับใช้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ระยะเวลาใช้สิทธิขอยกเลิกกรมธรรม์ (Free-look Period)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วัน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นับถัดจากวันที่ได้รับเล่มกรมธรรม์ในรูปแบบดิจิทัล (e-Policy) หรือรูปแบบกระดาษ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ระยะเวลาโต้แย้งความไม่สมบูรณ์ของสัญญา (Incontestability Clause)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บริษัทไม่สามารถโต้แย้งหรือคัดค้านความไม่สมบูรณ์ของสัญญาได้หากพ้นกำหนดนี้ เว้นแต่เป็นการทุจริตอย่างร้ายแรง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ข้อยกเว้นกรณีการฆ่าตัวตาย (Suicide Exclusion)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หากผู้เอาประกันภัยฆ่าตัวตายโดยเจตนาภายในกำหนดนี้ บริษัทจะจ่ายคืนเฉพาะเบี้ยประกันภัยที่ชำระมาแล้วเท่านั้น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2: มาตรการป้องกันการฉ้อโกงและการทุจริตเอาประกันภัย (Anti-Fraud Protocols)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เพื่อป้องกันความเสี่ยงจากการเลือกที่เป็นปฏิปักษ์ (Anti-selection) และภัยศีลธรรม (Moral Hazard) ในปี 2026 บริษัทได้นำเทคโนโลยีและการตรวจสอบเชิงรุกมาบัญญัติเป็นเกณฑ์ปฏิบัติดังนี้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2.1 การพิสูจน์และยืนยันตัวตนขั้นสูง (Advanced e-KYC)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การยืนยันตัวตนดิจิทัล: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กำหนดให้ผู้ขอเอาประกันภัยต้องผ่านกระบวนการ e-KYC ร่วมกับการตรวจสอบชีวมิติ (Biometrics) ผ่านระบบ National Digital ID (NDID) หรือเทียบเท่า เพื่อป้องกันการสวมสิทธิ์หรือการทำประกันโดยที่เจ้าตัวไม่ยินยอม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ลายมือชื่ออิเล็กทรอนิกส์: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การลงนามในใบคำขอต้องเป็นไปตาม พ.ร.บ. ว่าด้วยธุรกรรมทางอิเล็กทรอนิกส์ โดยมีระบบจัดเก็บ Log File และ IP Address อย่างรัดกุม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2.2 หลักการมีส่วนได้เสียในเหตุประกันภัย (Insurable Interest)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ผู้รับประโยชน์จะต้องเป็นผู้ที่มีความสัมพันธ์ทางสายเลือด คู่สมรสที่จดทะเบียน หรือคู่ชีวิตที่มีหลักฐานเชิงประจักษ์ในการพึ่งพาอาศัยกันทางเศรษฐกิจอย่างชัดเจน ในกรณีที่กำหนดให้บุคคลอื่นเป็นผู้รับประโยชน์ที่ไม่มีส่วนได้เสียโดยตรง ฝ่ายพิจารณารับประกันภัย (Underwriting) จะต้องทำการตรวจสอบเชิงลึกก่อนอนุมัติ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3: รายละเอียดข้อยกเว้นและความรับผิดชอบ (Product Disclosure &amp; Exclusions)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กำหนดและเงื่อนไขที่ระบุในสัญญาเพื่อสร้างความโปร่งใสและลดข้อพิพาทในขั้นตอนการเคลมสินไหมทดแทน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3.1 หน้าที่การแถลงข้อความจริง (Duty of Disclosure)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ผู้ขอเอาประกันภัยมีหน้าที่แถลงข้อความจริงเกี่ยวกับสุขภาพ ประวัติการรักษาพยาบาล และอาชีพ ตามหลักความซื่อสัตย์อย่างยิ่ง (Utmost Good Faith) หากมีการปกปิดข้อความจริง หรือแถลงข้อความอันเป็นเท็จ บริษัทมีสิทธิบอกล้างสัญญาประกันภัยภายในระยะเวลา 2 ปีนับตั้งแต่วันเริ่มมีผลคุ้มครองตามประมวลกฎหมายแพ่งและพาณิชย์ มาตรา 865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3.2 ข้อจำกัดในการใช้สิทธิฟีเจอร์ความยืดหยุ่น (Flexibility Monitoring)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การควบคุม Premium Holiday: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การใช้สิทธิหยุดพักชำระเบี้ยจะกระทำได้ต่อเมื่อกรมธรรม์ไม่มีหนี้สินกู้ยืม และไม่สามารถใช้สิทธิติดต่อกันเกินกว่า 2 ปี เพื่อป้องกันไม่ให้มูลค่าเงินสดลดลงจนส่งผลกระทบต่อความมั่นคงของสัญญาหลัก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การควบคุม Partial Surrender: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ูลค่าเวนคืนที่ถอนออกไปจะต้องไม่ส่งผลให้ทุนประกันภัยคงเหลือต่ำกว่าเกณฑ์ขั้นต่ำที่บริษัทกำหนดไว้คือ 100,000 บาท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