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80C3D" w:rsidRPr="00B80C3D" w:rsidRDefault="00B80C3D" w:rsidP="002A488F">
      <w:pPr>
        <w:pStyle w:val="papertitle"/>
      </w:pPr>
      <w:r w:rsidRPr="00B80C3D">
        <w:t xml:space="preserve">Automatic Control Tasks Featuring Asymmetrical Conditional Identification of Parameters </w:t>
      </w:r>
    </w:p>
    <w:p w:rsidR="00C24DEF" w:rsidRPr="00B80C3D" w:rsidRDefault="00B80C3D" w:rsidP="00B80C3D">
      <w:pPr>
        <w:pStyle w:val="author"/>
        <w:rPr>
          <w:lang w:val="pl-PL"/>
        </w:rPr>
      </w:pPr>
      <w:r w:rsidRPr="00B80C3D">
        <w:rPr>
          <w:lang w:val="pl-PL"/>
        </w:rPr>
        <w:t xml:space="preserve">Jan Kowalski </w:t>
      </w:r>
      <w:r w:rsidR="009B2539" w:rsidRPr="00B80C3D">
        <w:rPr>
          <w:vertAlign w:val="superscript"/>
          <w:lang w:val="pl-PL"/>
        </w:rPr>
        <w:t>1</w:t>
      </w:r>
      <w:r w:rsidR="009B2539" w:rsidRPr="00B80C3D">
        <w:rPr>
          <w:rStyle w:val="ORCID"/>
          <w:lang w:val="pl-PL"/>
        </w:rPr>
        <w:t>[0000-1111-2222-3333]</w:t>
      </w:r>
      <w:r w:rsidR="009B2539" w:rsidRPr="00B80C3D">
        <w:rPr>
          <w:lang w:val="pl-PL"/>
        </w:rPr>
        <w:t xml:space="preserve"> and </w:t>
      </w:r>
      <w:r w:rsidRPr="00B80C3D">
        <w:rPr>
          <w:lang w:val="pl-PL"/>
        </w:rPr>
        <w:t xml:space="preserve">Janina Nowak </w:t>
      </w:r>
      <w:r w:rsidR="009B2539" w:rsidRPr="00B80C3D">
        <w:rPr>
          <w:rStyle w:val="ORCID"/>
          <w:lang w:val="pl-PL"/>
        </w:rPr>
        <w:t>[1111-2222-3333-4444]</w:t>
      </w:r>
    </w:p>
    <w:p w:rsidR="00C24DEF" w:rsidRPr="002A488F" w:rsidRDefault="00905096" w:rsidP="002A488F">
      <w:pPr>
        <w:pStyle w:val="Zwykytekst"/>
        <w:widowControl w:val="0"/>
        <w:tabs>
          <w:tab w:val="left" w:pos="567"/>
          <w:tab w:val="right" w:pos="8789"/>
        </w:tabs>
        <w:spacing w:line="264" w:lineRule="auto"/>
        <w:jc w:val="center"/>
        <w:rPr>
          <w:rFonts w:ascii="Times New Roman" w:hAnsi="Times New Roman"/>
          <w:lang w:val="en-US"/>
        </w:rPr>
      </w:pPr>
      <w:r w:rsidRPr="00905096">
        <w:rPr>
          <w:vertAlign w:val="superscript"/>
          <w:lang w:val="en-US"/>
        </w:rPr>
        <w:t xml:space="preserve">1 </w:t>
      </w:r>
      <w:r w:rsidR="00B80C3D" w:rsidRPr="002A488F">
        <w:rPr>
          <w:rFonts w:ascii="Times New Roman" w:hAnsi="Times New Roman"/>
          <w:sz w:val="18"/>
          <w:szCs w:val="20"/>
          <w:lang w:val="en-US" w:eastAsia="en-US"/>
        </w:rPr>
        <w:t>Cracow University of Technology</w:t>
      </w:r>
      <w:r w:rsidR="002A488F">
        <w:rPr>
          <w:rFonts w:ascii="Times New Roman" w:hAnsi="Times New Roman"/>
          <w:sz w:val="18"/>
          <w:szCs w:val="20"/>
          <w:lang w:val="en-US" w:eastAsia="en-US"/>
        </w:rPr>
        <w:t>,</w:t>
      </w:r>
      <w:r w:rsidR="00B80C3D" w:rsidRPr="002A488F">
        <w:rPr>
          <w:rFonts w:ascii="Times New Roman" w:hAnsi="Times New Roman"/>
          <w:sz w:val="18"/>
          <w:szCs w:val="20"/>
          <w:lang w:val="en-US" w:eastAsia="en-US"/>
        </w:rPr>
        <w:t xml:space="preserve"> </w:t>
      </w:r>
      <w:r w:rsidR="002A488F" w:rsidRPr="002A488F">
        <w:rPr>
          <w:rFonts w:ascii="Times New Roman" w:hAnsi="Times New Roman"/>
          <w:sz w:val="18"/>
          <w:szCs w:val="20"/>
          <w:lang w:val="en-US" w:eastAsia="en-US"/>
        </w:rPr>
        <w:t>Warszawska 24, PL-31-155 Cracow, Poland</w:t>
      </w:r>
    </w:p>
    <w:p w:rsidR="00B80C3D" w:rsidRPr="002A488F" w:rsidRDefault="009B2539" w:rsidP="00B80C3D">
      <w:pPr>
        <w:pStyle w:val="address"/>
        <w:rPr>
          <w:bCs/>
          <w:color w:val="000000"/>
          <w:spacing w:val="6"/>
          <w:lang w:val="en-GB"/>
        </w:rPr>
      </w:pPr>
      <w:r w:rsidRPr="002A488F">
        <w:rPr>
          <w:vertAlign w:val="superscript"/>
        </w:rPr>
        <w:t>2</w:t>
      </w:r>
      <w:r w:rsidRPr="002A488F">
        <w:t xml:space="preserve"> </w:t>
      </w:r>
      <w:r w:rsidR="00B80C3D" w:rsidRPr="002A488F">
        <w:t>Catholic University of Lublin</w:t>
      </w:r>
      <w:r w:rsidR="002A488F" w:rsidRPr="002A488F">
        <w:t>,</w:t>
      </w:r>
      <w:r w:rsidR="00B80C3D" w:rsidRPr="002A488F">
        <w:t xml:space="preserve"> </w:t>
      </w:r>
      <w:r w:rsidR="002A488F" w:rsidRPr="002A488F">
        <w:rPr>
          <w:bCs/>
          <w:color w:val="000000"/>
          <w:spacing w:val="6"/>
          <w:lang w:val="en-GB"/>
        </w:rPr>
        <w:t>Raclawickie 14, PL-20-950 Lublin, Poland</w:t>
      </w:r>
    </w:p>
    <w:p w:rsidR="00C24DEF" w:rsidRPr="002A488F" w:rsidRDefault="002A488F" w:rsidP="00B80C3D">
      <w:pPr>
        <w:pStyle w:val="address"/>
        <w:rPr>
          <w:rStyle w:val="e-mail"/>
        </w:rPr>
      </w:pPr>
      <w:r w:rsidRPr="002A488F">
        <w:rPr>
          <w:rStyle w:val="e-mail"/>
        </w:rPr>
        <w:t>j</w:t>
      </w:r>
      <w:r w:rsidR="00B80C3D" w:rsidRPr="002A488F">
        <w:rPr>
          <w:rStyle w:val="e-mail"/>
        </w:rPr>
        <w:t>.nowak@kul.edu.pl</w:t>
      </w:r>
    </w:p>
    <w:p w:rsidR="00C24DEF" w:rsidRPr="00EE426C" w:rsidRDefault="009B2539" w:rsidP="00EE426C">
      <w:pPr>
        <w:pStyle w:val="abstract"/>
        <w:spacing w:after="0"/>
        <w:ind w:firstLine="0"/>
      </w:pPr>
      <w:r w:rsidRPr="00EE426C">
        <w:rPr>
          <w:b/>
          <w:bCs/>
        </w:rPr>
        <w:t xml:space="preserve">Abstract. </w:t>
      </w:r>
      <w:r w:rsidR="00E9678F" w:rsidRPr="00E9678F">
        <w:t>One of the main problems in control engineering practice results from unavoidable errors in specifying parameters existing in the object model and the necessity to deal with the unwanted phenomena arising as a result. In this paper a Bayes methodology considering both asymmetrical and conditional aspects is applied for this purpose, with the application of kernel estimators methodology. Use of the Bayes rule enables minimum potential losses to be assumed, while the asymmetry of the occurring loss function enables the inclusion of different results for under- and overestimation. A conditional approach allows to obtain a more precise result thanks to using information entered as the fixed (e.g. current) values of conditioning factors of continuous and/or binary (also categorical) type. The nonparametric methodology of statistical kernel estimators frees the worked out procedure from arbitrary assumptions concerning the forms of distributions characterizing both the parameter under investigation and conditioning factors. The generalizations introduced here also allow different relevance of particular random sample elements to be taken into account.</w:t>
      </w:r>
    </w:p>
    <w:p w:rsidR="00C24DEF" w:rsidRPr="00EE426C" w:rsidRDefault="009B2539" w:rsidP="00EE426C">
      <w:pPr>
        <w:pStyle w:val="keywords"/>
      </w:pPr>
      <w:r w:rsidRPr="00EE426C">
        <w:rPr>
          <w:b/>
          <w:bCs/>
        </w:rPr>
        <w:t>Keywords</w:t>
      </w:r>
      <w:r w:rsidR="002A488F" w:rsidRPr="00EE426C">
        <w:rPr>
          <w:b/>
          <w:bCs/>
        </w:rPr>
        <w:t>:</w:t>
      </w:r>
      <w:r w:rsidR="002A488F" w:rsidRPr="00EE426C">
        <w:t xml:space="preserve"> </w:t>
      </w:r>
      <w:r w:rsidR="002A488F" w:rsidRPr="00E9678F">
        <w:t xml:space="preserve">Parameter Identification, Control Engineering, </w:t>
      </w:r>
      <w:r w:rsidR="00E9678F" w:rsidRPr="00E9678F">
        <w:t xml:space="preserve">Bayes </w:t>
      </w:r>
      <w:r w:rsidR="002A488F" w:rsidRPr="00E9678F">
        <w:t>Methodology, Asymmetrical Loss Function</w:t>
      </w:r>
      <w:r w:rsidR="00E9678F" w:rsidRPr="00E9678F">
        <w:t>.</w:t>
      </w:r>
    </w:p>
    <w:p w:rsidR="00C24DEF" w:rsidRDefault="002A488F" w:rsidP="00C24DEF">
      <w:pPr>
        <w:pStyle w:val="heading1"/>
      </w:pPr>
      <w:r w:rsidRPr="00BE7D64">
        <w:t>Introduction</w:t>
      </w:r>
    </w:p>
    <w:p w:rsidR="00BE7D64" w:rsidRDefault="00BE7D64" w:rsidP="002A488F">
      <w:pPr>
        <w:pStyle w:val="p1a"/>
      </w:pPr>
      <w:r>
        <w:t xml:space="preserve">In contemporary control engineering, the model of a controlling object constitutes one of the two most important – after the controlling algorithm itself – elements in deciding the efficiency of a designed device. Despite it seeming that the development of innovative methods, based on knowledge engineering and data exploratory analysis, will slowly lessen the importance of the models, firstly, the above methods are actually hope for the future rather than the present, and secondly, procedures based on models will always remain at least valuable assistance in the preliminary analysis of problems. </w:t>
      </w:r>
    </w:p>
    <w:p w:rsidR="00BE7D64" w:rsidRDefault="00BE7D64" w:rsidP="002A488F">
      <w:r>
        <w:t xml:space="preserve">Regardless of precision of the identification method used, it is of course impossible to obtain an exact model. This concerns its structure as well as the parameters occurring within. In the first case it is mainly due to the enormous amount of phenomena influencing the considered object, the description of which would result in the model being too complex and consequently of no use for the needs of control algorithm design. In the second it is not only because of natural metrological limitations, but also the fact </w:t>
      </w:r>
      <w:r>
        <w:lastRenderedPageBreak/>
        <w:t xml:space="preserve">that one parameter often represents an entire spectrum of phenomena impossible to precisely represent as a single number. </w:t>
      </w:r>
    </w:p>
    <w:p w:rsidR="00BE7D64" w:rsidRDefault="00BE7D64" w:rsidP="002A488F">
      <w:r>
        <w:t xml:space="preserve">In order to overcome the above limitations in the precision of models, two basic concepts are used in developing control algorithms. The first consists of designing control procedures with imprecision of models already assumed in their nature and consequently robust to resulting errors – in practice they are robust only to some of them in a bounded range, and moreover are sometimes so complicated that they are of theoretical significance only. The second concept dictates that the identification of a model is subject to a higher goal which is the control algorithm itself, and consequently models are worked out minimizing errors relative to their malevolence regarding quality of the control algorithm. This paper offers a contribution to the latter concept. </w:t>
      </w:r>
    </w:p>
    <w:p w:rsidR="00BE7D64" w:rsidRPr="00BE7D64" w:rsidRDefault="00BE7D64" w:rsidP="002A488F">
      <w:r>
        <w:t>The subject of the investigations presented here is the specification of parameters existing in the models of a controlled object. The typical procedures for parameter identification generally available in literature do not take into account different – in sign as well as size – results of their under- and overestimation. The method presented in this paper, based on the Bayes decision rule, allows for the consideration of this aspect, while the result obtained minimalizes potential losses. Furthermore, the proposed algorithm enables the influence of various conditioning factors – of continuous and binary (also categorical) type – to be taken into account, e.g. temperature or other external conditioning factors of an environmental, technical and economic nature. The mathematical apparatus relies on the statistical kernel estimators, which frees the method from the types of distributions of imprecise information as well as conditioning factors, and furthermore the introduction of generalizations allows to take into account various relevance of particular elements of a random sample. Although the problem is presented with reference to control problems, the concept is universal in nature and can be applied in a wide range of tasks in contemporary engineering, economy and management, environmental and social issues, biomedicine, and other related fields</w:t>
      </w:r>
      <w:r w:rsidR="009B2539">
        <w:rPr>
          <w:rStyle w:val="heading3"/>
          <w:b w:val="0"/>
        </w:rPr>
        <w:t>.</w:t>
      </w:r>
    </w:p>
    <w:p w:rsidR="00BE7D64" w:rsidRDefault="002A488F" w:rsidP="00BE7D64">
      <w:pPr>
        <w:pStyle w:val="heading1"/>
      </w:pPr>
      <w:r w:rsidRPr="00BE7D64">
        <w:t>Preliminaries: Statistical Kernel Estimators</w:t>
      </w:r>
    </w:p>
    <w:p w:rsidR="00853E67" w:rsidRDefault="00853E67" w:rsidP="00D922CB">
      <w:pPr>
        <w:pStyle w:val="p1a"/>
        <w:ind w:firstLine="227"/>
      </w:pPr>
      <w:r>
        <w:t xml:space="preserve">Presented below is the concept of statistical kernel estimators of the distribution density of the </w:t>
      </w:r>
      <m:oMath>
        <m:r>
          <w:rPr>
            <w:rFonts w:ascii="Cambria Math" w:hAnsi="Cambria Math"/>
          </w:rPr>
          <m:t>n</m:t>
        </m:r>
      </m:oMath>
      <w:r>
        <w:t xml:space="preserve"> -dimensional random variable </w:t>
      </w:r>
      <w:r w:rsidRPr="00D922CB">
        <w:t>Z</w:t>
      </w:r>
      <w:r>
        <w:t xml:space="preserve">, whose </w:t>
      </w:r>
      <m:oMath>
        <m:sSub>
          <m:sSubPr>
            <m:ctrlPr>
              <w:rPr>
                <w:rFonts w:ascii="Cambria Math" w:hAnsi="Cambria Math"/>
              </w:rPr>
            </m:ctrlPr>
          </m:sSubPr>
          <m:e>
            <m:r>
              <w:rPr>
                <w:rFonts w:ascii="Cambria Math"/>
              </w:rPr>
              <m:t>n</m:t>
            </m:r>
          </m:e>
          <m:sub>
            <m:r>
              <w:rPr>
                <w:rFonts w:ascii="Cambria Math"/>
              </w:rPr>
              <m:t>c</m:t>
            </m:r>
          </m:sub>
        </m:sSub>
      </m:oMath>
      <w:r>
        <w:t xml:space="preserve"> coordinates are continuous. </w:t>
      </w:r>
    </w:p>
    <w:p w:rsidR="00853E67" w:rsidRDefault="00853E67" w:rsidP="00D922CB">
      <w:pPr>
        <w:pStyle w:val="p1a"/>
        <w:ind w:firstLine="227"/>
      </w:pPr>
      <w:r>
        <w:t xml:space="preserve">Let therefore </w:t>
      </w:r>
      <w:bookmarkStart w:id="0" w:name="_Hlk33442674"/>
      <m:oMath>
        <m:r>
          <m:rPr>
            <m:sty m:val="p"/>
          </m:rPr>
          <w:rPr>
            <w:rFonts w:ascii="Cambria Math"/>
          </w:rPr>
          <m:t>(</m:t>
        </m:r>
        <m:r>
          <m:rPr>
            <m:sty m:val="p"/>
          </m:rPr>
          <w:rPr>
            <w:rFonts w:ascii="Cambria Math"/>
          </w:rPr>
          <m:t>Ω</m:t>
        </m:r>
        <m:r>
          <m:rPr>
            <m:sty m:val="p"/>
          </m:rPr>
          <w:rPr>
            <w:rFonts w:ascii="Cambria Math"/>
          </w:rPr>
          <m:t>,</m:t>
        </m:r>
        <m:r>
          <m:rPr>
            <m:sty m:val="p"/>
          </m:rPr>
          <w:rPr>
            <w:rFonts w:ascii="Cambria Math"/>
          </w:rPr>
          <m:t>Σ</m:t>
        </m:r>
        <m:r>
          <m:rPr>
            <m:sty m:val="p"/>
          </m:rPr>
          <w:rPr>
            <w:rFonts w:ascii="Cambria Math"/>
          </w:rPr>
          <m:t>,</m:t>
        </m:r>
        <m:r>
          <w:rPr>
            <w:rFonts w:ascii="Cambria Math"/>
          </w:rPr>
          <m:t>P</m:t>
        </m:r>
        <m:r>
          <m:rPr>
            <m:sty m:val="p"/>
          </m:rPr>
          <w:rPr>
            <w:rFonts w:ascii="Cambria Math"/>
          </w:rPr>
          <m:t>)</m:t>
        </m:r>
      </m:oMath>
      <w:bookmarkEnd w:id="0"/>
      <w:r>
        <w:t xml:space="preserve"> </w:t>
      </w:r>
      <w:bookmarkStart w:id="1" w:name="_Hlk33442724"/>
      <w:r>
        <w:t>be a probability space. Let also the</w:t>
      </w:r>
      <w:bookmarkStart w:id="2" w:name="OLE_LINK1"/>
      <w:r>
        <w:t xml:space="preserve"> </w:t>
      </w:r>
      <w:bookmarkStart w:id="3" w:name="_Hlk33442757"/>
      <w:bookmarkEnd w:id="1"/>
      <w:bookmarkEnd w:id="2"/>
      <m:oMath>
        <m:sSub>
          <m:sSubPr>
            <m:ctrlPr>
              <w:rPr>
                <w:rFonts w:ascii="Cambria Math" w:hAnsi="Cambria Math"/>
              </w:rPr>
            </m:ctrlPr>
          </m:sSubPr>
          <m:e>
            <m:r>
              <w:rPr>
                <w:rFonts w:ascii="Cambria Math"/>
              </w:rPr>
              <m:t>n</m:t>
            </m:r>
          </m:e>
          <m:sub>
            <m:r>
              <w:rPr>
                <w:rFonts w:ascii="Cambria Math"/>
              </w:rPr>
              <m:t>c</m:t>
            </m:r>
          </m:sub>
        </m:sSub>
      </m:oMath>
      <w:bookmarkStart w:id="4" w:name="_Hlk33442805"/>
      <w:bookmarkEnd w:id="3"/>
      <w:r>
        <w:t xml:space="preserve">-dimensional continuous random variable </w:t>
      </w:r>
      <w:bookmarkEnd w:id="4"/>
      <m:oMath>
        <m:r>
          <w:rPr>
            <w:rFonts w:ascii="Cambria Math"/>
          </w:rPr>
          <m:t>X</m:t>
        </m:r>
        <w:bookmarkStart w:id="5" w:name="_Hlk33442864"/>
        <m:func>
          <m:funcPr>
            <m:ctrlPr>
              <w:rPr>
                <w:rFonts w:ascii="Cambria Math" w:hAnsi="Cambria Math"/>
              </w:rPr>
            </m:ctrlPr>
          </m:funcPr>
          <m:fName>
            <m:r>
              <m:rPr>
                <m:sty m:val="p"/>
              </m:rPr>
              <w:rPr>
                <w:rFonts w:ascii="Cambria Math"/>
              </w:rPr>
              <m:t>:</m:t>
            </m:r>
          </m:fName>
          <m:e>
            <m:r>
              <m:rPr>
                <m:sty m:val="p"/>
              </m:rPr>
              <w:rPr>
                <w:rFonts w:ascii="Cambria Math"/>
              </w:rPr>
              <m:t>Ω</m:t>
            </m:r>
          </m:e>
        </m:func>
        <m:r>
          <m:rPr>
            <m:sty m:val="p"/>
          </m:rPr>
          <w:rPr>
            <w:rFonts w:ascii="Cambria Math"/>
          </w:rPr>
          <m:t>→</m:t>
        </m:r>
        <m:sSup>
          <m:sSupPr>
            <m:ctrlPr>
              <w:rPr>
                <w:rFonts w:ascii="Cambria Math" w:hAnsi="Cambria Math"/>
              </w:rPr>
            </m:ctrlPr>
          </m:sSupPr>
          <m:e>
            <m:r>
              <m:rPr>
                <m:sty m:val="p"/>
              </m:rPr>
              <w:rPr>
                <w:rFonts w:ascii="Cambria Math"/>
              </w:rPr>
              <m:t>R</m:t>
            </m:r>
          </m:e>
          <m:sup>
            <m:sSub>
              <m:sSubPr>
                <m:ctrlPr>
                  <w:rPr>
                    <w:rFonts w:ascii="Cambria Math" w:hAnsi="Cambria Math"/>
                  </w:rPr>
                </m:ctrlPr>
              </m:sSubPr>
              <m:e>
                <m:r>
                  <w:rPr>
                    <w:rFonts w:ascii="Cambria Math"/>
                  </w:rPr>
                  <m:t>n</m:t>
                </m:r>
              </m:e>
              <m:sub>
                <m:r>
                  <w:rPr>
                    <w:rFonts w:ascii="Cambria Math"/>
                  </w:rPr>
                  <m:t>c</m:t>
                </m:r>
              </m:sub>
            </m:sSub>
          </m:sup>
        </m:sSup>
      </m:oMath>
      <w:bookmarkStart w:id="6" w:name="_Hlk33442880"/>
      <w:bookmarkEnd w:id="5"/>
      <w:r>
        <w:t xml:space="preserve"> be given, with a distribution characterized by the density </w:t>
      </w:r>
      <w:bookmarkEnd w:id="6"/>
      <m:oMath>
        <m:sSub>
          <m:sSubPr>
            <m:ctrlPr>
              <w:rPr>
                <w:rFonts w:ascii="Cambria Math" w:hAnsi="Cambria Math"/>
              </w:rPr>
            </m:ctrlPr>
          </m:sSubPr>
          <m:e>
            <m:r>
              <w:rPr>
                <w:rFonts w:ascii="Cambria Math" w:hAnsi="Cambria Math"/>
              </w:rPr>
              <m:t>f</m:t>
            </m:r>
          </m:e>
          <m:sub>
            <m:r>
              <w:rPr>
                <w:rFonts w:ascii="Cambria Math" w:hAnsi="Cambria Math"/>
              </w:rPr>
              <m:t>X</m:t>
            </m:r>
          </m:sub>
        </m:sSub>
      </m:oMath>
      <w:r>
        <w:t xml:space="preserve">. The corresponding kernel estimator </w:t>
      </w:r>
      <m:oMath>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r>
          <m:rPr>
            <m:sty m:val="p"/>
          </m:rPr>
          <w:rPr>
            <w:rFonts w:ascii="Cambria Math" w:hAnsi="Cambria Math"/>
          </w:rPr>
          <m:t>→[0,∞)</m:t>
        </m:r>
      </m:oMath>
      <w:r>
        <w:t xml:space="preserve">, calculated using experimentally obtained values for the </w:t>
      </w:r>
      <w:r w:rsidRPr="00D922CB">
        <w:t>m-</w:t>
      </w:r>
      <w:r>
        <w:t xml:space="preserve">element random sample </w:t>
      </w:r>
      <m:oMath>
        <m:sSub>
          <m:sSubPr>
            <m:ctrlPr>
              <w:rPr>
                <w:rFonts w:ascii="Cambria Math" w:hAnsi="Cambria Math"/>
              </w:rPr>
            </m:ctrlPr>
          </m:sSubPr>
          <m:e>
            <m:r>
              <w:rPr>
                <w:rFonts w:ascii="Cambria Math" w:hAnsi="Cambria Math"/>
              </w:rPr>
              <m:t>x</m:t>
            </m:r>
          </m:e>
          <m:sub>
            <m:r>
              <m:rPr>
                <m:sty m:val="p"/>
              </m:rPr>
              <w:rPr>
                <w:rFonts w:ascii="Cambria Math" w:hAnsi="Cambria Math"/>
              </w:rPr>
              <m:t>1</m:t>
            </m:r>
          </m:sub>
        </m:sSub>
      </m:oMath>
      <w:r>
        <w:t>, </w:t>
      </w:r>
      <m:oMath>
        <m:sSub>
          <m:sSubPr>
            <m:ctrlPr>
              <w:rPr>
                <w:rFonts w:ascii="Cambria Math" w:hAnsi="Cambria Math"/>
              </w:rPr>
            </m:ctrlPr>
          </m:sSubPr>
          <m:e>
            <m:r>
              <w:rPr>
                <w:rFonts w:ascii="Cambria Math" w:hAnsi="Cambria Math"/>
              </w:rPr>
              <m:t>x</m:t>
            </m:r>
          </m:e>
          <m:sub>
            <m:r>
              <m:rPr>
                <m:sty m:val="p"/>
              </m:rPr>
              <w:rPr>
                <w:rFonts w:ascii="Cambria Math" w:hAnsi="Cambria Math"/>
              </w:rPr>
              <m:t>2</m:t>
            </m:r>
          </m:sub>
        </m:sSub>
      </m:oMath>
      <w:r>
        <w:t>, ... ,</w:t>
      </w:r>
      <m:oMath>
        <m:sSub>
          <m:sSubPr>
            <m:ctrlPr>
              <w:rPr>
                <w:rFonts w:ascii="Cambria Math" w:hAnsi="Cambria Math"/>
              </w:rPr>
            </m:ctrlPr>
          </m:sSubPr>
          <m:e>
            <m:r>
              <w:rPr>
                <w:rFonts w:ascii="Cambria Math"/>
              </w:rPr>
              <m:t>x</m:t>
            </m:r>
          </m:e>
          <m:sub>
            <m:r>
              <w:rPr>
                <w:rFonts w:ascii="Cambria Math"/>
              </w:rPr>
              <m:t>m</m:t>
            </m:r>
          </m:sub>
        </m:sSub>
      </m:oMath>
      <w:r>
        <w:t xml:space="preserve">, in its basic form is defined as </w:t>
      </w:r>
    </w:p>
    <w:p w:rsidR="00D922CB" w:rsidRDefault="00704AC7" w:rsidP="00600141">
      <w:pPr>
        <w:pStyle w:val="equation"/>
      </w:pPr>
      <w:bookmarkStart w:id="7" w:name="_Hlk33443171"/>
      <w:r>
        <w:tab/>
      </w:r>
      <m:oMath>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r>
          <w:rPr>
            <w:rFonts w:ascii="Cambria Math" w:hAnsi="Cambria Math"/>
          </w:rPr>
          <m:t>x</m:t>
        </m:r>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w:rPr>
                <w:rFonts w:ascii="Cambria Math" w:hAnsi="Cambria Math"/>
              </w:rPr>
              <m:t>m</m:t>
            </m:r>
            <m:sSup>
              <m:sSupPr>
                <m:ctrlPr>
                  <w:rPr>
                    <w:rFonts w:ascii="Cambria Math" w:hAnsi="Cambria Math"/>
                  </w:rPr>
                </m:ctrlPr>
              </m:sSupPr>
              <m:e>
                <m:r>
                  <w:rPr>
                    <w:rFonts w:ascii="Cambria Math" w:hAnsi="Cambria Math"/>
                  </w:rPr>
                  <m:t>h</m:t>
                </m:r>
              </m:e>
              <m:sup>
                <m:sSub>
                  <m:sSubPr>
                    <m:ctrlPr>
                      <w:rPr>
                        <w:rFonts w:ascii="Cambria Math" w:hAnsi="Cambria Math"/>
                      </w:rPr>
                    </m:ctrlPr>
                  </m:sSubPr>
                  <m:e>
                    <m:r>
                      <w:rPr>
                        <w:rFonts w:ascii="Cambria Math" w:hAnsi="Cambria Math"/>
                      </w:rPr>
                      <m:t>n</m:t>
                    </m:r>
                  </m:e>
                  <m:sub>
                    <m:r>
                      <w:rPr>
                        <w:rFonts w:ascii="Cambria Math" w:hAnsi="Cambria Math"/>
                      </w:rPr>
                      <m:t>c</m:t>
                    </m:r>
                  </m:sub>
                </m:sSub>
              </m:sup>
            </m:sSup>
          </m:den>
        </m:f>
        <m:nary>
          <m:naryPr>
            <m:chr m:val="∑"/>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m</m:t>
            </m:r>
          </m:sup>
          <m:e>
            <m:sSub>
              <m:sSubPr>
                <m:ctrlPr>
                  <w:rPr>
                    <w:rFonts w:ascii="Cambria Math" w:hAnsi="Cambria Math"/>
                  </w:rPr>
                </m:ctrlPr>
              </m:sSubPr>
              <m:e>
                <m:r>
                  <w:rPr>
                    <w:rFonts w:ascii="Cambria Math" w:hAnsi="Cambria Math"/>
                  </w:rPr>
                  <m:t>K</m:t>
                </m:r>
              </m:e>
              <m:sub>
                <m:r>
                  <w:rPr>
                    <w:rFonts w:ascii="Cambria Math" w:hAnsi="Cambria Math"/>
                  </w:rPr>
                  <m:t>c</m:t>
                </m:r>
              </m:sub>
            </m:sSub>
            <m:d>
              <m:dPr>
                <m:ctrlPr>
                  <w:rPr>
                    <w:rFonts w:ascii="Cambria Math" w:hAnsi="Cambria Math"/>
                  </w:rPr>
                </m:ctrlPr>
              </m:dPr>
              <m:e>
                <m:f>
                  <m:fPr>
                    <m:ctrlPr>
                      <w:rPr>
                        <w:rFonts w:ascii="Cambria Math" w:hAnsi="Cambria Math"/>
                      </w:rPr>
                    </m:ctrlPr>
                  </m:fPr>
                  <m:num>
                    <m:r>
                      <w:rPr>
                        <w:rFonts w:ascii="Cambria Math" w:hAnsi="Cambria Math"/>
                      </w:rPr>
                      <m:t>x</m:t>
                    </m:r>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i</m:t>
                        </m:r>
                      </m:sub>
                    </m:sSub>
                  </m:num>
                  <m:den>
                    <m:r>
                      <w:rPr>
                        <w:rFonts w:ascii="Cambria Math" w:hAnsi="Cambria Math"/>
                      </w:rPr>
                      <m:t>h</m:t>
                    </m:r>
                  </m:den>
                </m:f>
              </m:e>
            </m:d>
          </m:e>
        </m:nary>
      </m:oMath>
      <w:r w:rsidR="00D922CB">
        <w:t xml:space="preserve">  ,</w:t>
      </w:r>
      <w:r w:rsidR="00D922CB">
        <w:tab/>
        <w:t>(1)</w:t>
      </w:r>
    </w:p>
    <w:p w:rsidR="00D922CB" w:rsidRDefault="00D922CB" w:rsidP="00D922CB">
      <w:pPr>
        <w:pStyle w:val="p1a"/>
      </w:pPr>
      <w:r>
        <w:t xml:space="preserve">where </w:t>
      </w:r>
      <m:oMath>
        <m:r>
          <w:rPr>
            <w:rFonts w:ascii="Cambria Math" w:hAnsi="Cambria Math"/>
          </w:rPr>
          <m:t>m</m:t>
        </m:r>
        <m:r>
          <m:rPr>
            <m:sty m:val="p"/>
          </m:rPr>
          <w:rPr>
            <w:rFonts w:ascii="Cambria Math" w:hAnsi="Cambria Math"/>
          </w:rPr>
          <m:t>∈N\{0}</m:t>
        </m:r>
      </m:oMath>
      <w:r>
        <w:t xml:space="preserve">, the coefficient </w:t>
      </w:r>
      <m:oMath>
        <m:r>
          <w:rPr>
            <w:rFonts w:ascii="Cambria Math" w:hAnsi="Cambria Math"/>
          </w:rPr>
          <m:t>h</m:t>
        </m:r>
        <m:r>
          <m:rPr>
            <m:sty m:val="p"/>
          </m:rPr>
          <w:rPr>
            <w:rFonts w:ascii="Cambria Math" w:hAnsi="Cambria Math"/>
          </w:rPr>
          <m:t>&gt;0</m:t>
        </m:r>
      </m:oMath>
      <w:r>
        <w:t xml:space="preserve"> is called a smoothing parameter, while the measurable function </w:t>
      </w:r>
      <m:oMath>
        <m:sSub>
          <m:sSubPr>
            <m:ctrlPr>
              <w:rPr>
                <w:rFonts w:ascii="Cambria Math" w:hAnsi="Cambria Math"/>
              </w:rPr>
            </m:ctrlPr>
          </m:sSubPr>
          <m:e>
            <m:r>
              <w:rPr>
                <w:rFonts w:ascii="Cambria Math" w:hAnsi="Cambria Math"/>
              </w:rPr>
              <m:t>K</m:t>
            </m:r>
          </m:e>
          <m:sub>
            <m:r>
              <w:rPr>
                <w:rFonts w:ascii="Cambria Math" w:hAnsi="Cambria Math"/>
              </w:rPr>
              <m:t>c</m:t>
            </m:r>
          </m:sub>
        </m:sSub>
        <m:r>
          <m:rPr>
            <m:sty m:val="p"/>
          </m:rPr>
          <w:rPr>
            <w:rFonts w:ascii="Cambria Math" w:hAnsi="Cambria Math"/>
          </w:rPr>
          <m:t>:</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r>
          <m:rPr>
            <m:sty m:val="p"/>
          </m:rPr>
          <w:rPr>
            <w:rFonts w:ascii="Cambria Math" w:hAnsi="Cambria Math"/>
          </w:rPr>
          <m:t>→[0,∞)</m:t>
        </m:r>
      </m:oMath>
      <w:r>
        <w:t xml:space="preserve"> of unit integral </w:t>
      </w:r>
      <m:oMath>
        <m:nary>
          <m:naryPr>
            <m:supHide m:val="1"/>
            <m:ctrlPr>
              <w:rPr>
                <w:rFonts w:ascii="Cambria Math" w:hAnsi="Cambria Math"/>
              </w:rPr>
            </m:ctrlPr>
          </m:naryPr>
          <m:sub>
            <m:r>
              <m:rPr>
                <m:sty m:val="p"/>
              </m:rPr>
              <w:rPr>
                <w:rFonts w:ascii="Cambria Math" w:hAnsi="Cambria Math"/>
              </w:rPr>
              <m:t xml:space="preserve"> </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sub>
          <m:sup/>
          <m:e>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r>
              <w:rPr>
                <w:rFonts w:ascii="Cambria Math" w:hAnsi="Cambria Math"/>
              </w:rPr>
              <m:t>x</m:t>
            </m:r>
            <m:r>
              <m:rPr>
                <m:sty m:val="p"/>
              </m:rPr>
              <w:rPr>
                <w:rFonts w:ascii="Cambria Math" w:hAnsi="Cambria Math"/>
              </w:rPr>
              <m:t>)</m:t>
            </m:r>
            <m:r>
              <w:rPr>
                <w:rFonts w:ascii="Cambria Math" w:hAnsi="Cambria Math"/>
              </w:rPr>
              <m:t>dx</m:t>
            </m:r>
          </m:e>
        </m:nary>
        <m:r>
          <m:rPr>
            <m:sty m:val="p"/>
          </m:rPr>
          <w:rPr>
            <w:rFonts w:ascii="Cambria Math" w:hAnsi="Cambria Math"/>
          </w:rPr>
          <m:t>=1</m:t>
        </m:r>
      </m:oMath>
      <w:r>
        <w:t xml:space="preserve">, symmetrical with respect to zero and having a weak global maximum in this place, takes the name </w:t>
      </w:r>
      <w:r>
        <w:lastRenderedPageBreak/>
        <w:t xml:space="preserve">of a kernel. Thanks to such a formulated concept, kernel estimators enable the density of practically any distribution to be found, without prior knowledge concerning its membership to a fixed class, as occurs in classical parametrical methods. </w:t>
      </w:r>
    </w:p>
    <w:p w:rsidR="00D922CB" w:rsidRDefault="00D922CB" w:rsidP="00D922CB">
      <w:pPr>
        <w:pStyle w:val="p1a"/>
        <w:ind w:firstLine="227"/>
      </w:pPr>
      <w:r>
        <w:t xml:space="preserve">Practical applications may also use additional procedures, some generally improving the quality of the estimator, and others – optional – fitting the model to an existing reality. In light of the subject considered here, one can – in fact should – recommend for the first group, the modification of the smoothing parameter (Kowalski, 2005; Silverman, 1986), while for the second, the boundaries of a support of continuous variable </w:t>
      </w:r>
      <m:oMath>
        <m:r>
          <w:rPr>
            <w:rFonts w:ascii="Cambria Math" w:hAnsi="Cambria Math"/>
          </w:rPr>
          <m:t>X</m:t>
        </m:r>
      </m:oMath>
      <w:r>
        <w:t xml:space="preserve"> (Wand and Jones, 1995). </w:t>
      </w:r>
    </w:p>
    <w:p w:rsidR="00D922CB" w:rsidRDefault="00D922CB" w:rsidP="00D922CB">
      <w:pPr>
        <w:pStyle w:val="p1a"/>
        <w:ind w:firstLine="227"/>
      </w:pPr>
      <w:r>
        <w:t xml:space="preserve">Exemplary applications of these procedures are described in the papers (Kowalski, 2002a, 2002b). Many aspects of methodology presented here, applied to the </w:t>
      </w:r>
      <w:r w:rsidRPr="00D922CB">
        <w:t xml:space="preserve">sharpening of imprecise information in medical problems, are also found in the article </w:t>
      </w:r>
      <w:r>
        <w:t xml:space="preserve">(Kowalski and Wisniewski, 2002). </w:t>
      </w:r>
      <w:bookmarkEnd w:id="7"/>
    </w:p>
    <w:p w:rsidR="00D922CB" w:rsidRDefault="00600141" w:rsidP="00D922CB">
      <w:pPr>
        <w:pStyle w:val="heading1"/>
      </w:pPr>
      <w:r>
        <w:rPr>
          <w:color w:val="000000"/>
          <w:sz w:val="26"/>
        </w:rPr>
        <w:t>Bayes Estimation Algorithm</w:t>
      </w:r>
    </w:p>
    <w:p w:rsidR="00D922CB" w:rsidRDefault="00D922CB" w:rsidP="00D922CB">
      <w:pPr>
        <w:pStyle w:val="p1a"/>
        <w:ind w:firstLine="227"/>
      </w:pPr>
      <w:r>
        <w:t xml:space="preserve">The formula for the optimal value of the parameter under investigation will be worked out below based on the Bayes decision rule (Berger, 1980). Let the following be given: the sets of states of nature </w:t>
      </w:r>
      <m:oMath>
        <m:r>
          <w:rPr>
            <w:rFonts w:ascii="Cambria Math" w:hAnsi="Cambria Math"/>
          </w:rPr>
          <m:t>S</m:t>
        </m:r>
        <m:r>
          <m:rPr>
            <m:sty m:val="p"/>
          </m:rPr>
          <w:rPr>
            <w:rFonts w:ascii="Cambria Math" w:hAnsi="Cambria Math"/>
          </w:rPr>
          <m:t>=R</m:t>
        </m:r>
      </m:oMath>
      <w:r>
        <w:t xml:space="preserve"> and allowable decisions </w:t>
      </w:r>
      <m:oMath>
        <m:r>
          <w:rPr>
            <w:rFonts w:ascii="Cambria Math"/>
          </w:rPr>
          <m:t>D</m:t>
        </m:r>
        <m:r>
          <m:rPr>
            <m:sty m:val="p"/>
          </m:rPr>
          <w:rPr>
            <w:rFonts w:ascii="Cambria Math"/>
          </w:rPr>
          <m:t>=R</m:t>
        </m:r>
      </m:oMath>
      <w:r>
        <w:t xml:space="preserve">, as well as the loss function </w:t>
      </w:r>
    </w:p>
    <w:p w:rsidR="00D922CB" w:rsidRDefault="00600141" w:rsidP="00600141">
      <w:pPr>
        <w:pStyle w:val="equation"/>
      </w:pPr>
      <w:r>
        <w:rPr>
          <w:iCs/>
        </w:rPr>
        <w:tab/>
      </w:r>
      <m:oMath>
        <m:r>
          <w:rPr>
            <w:rFonts w:ascii="Cambria Math" w:hAnsi="Cambria Math"/>
          </w:rPr>
          <m:t>l</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d>
          <m:dPr>
            <m:begChr m:val="{"/>
            <m:endChr m:val=""/>
            <m:ctrlPr>
              <w:rPr>
                <w:rFonts w:ascii="Cambria Math" w:hAnsi="Cambria Math"/>
              </w:rPr>
            </m:ctrlPr>
          </m:dPr>
          <m:e>
            <m:m>
              <m:mPr>
                <m:mcs>
                  <m:mc>
                    <m:mcPr>
                      <m:count m:val="3"/>
                      <m:mcJc m:val="center"/>
                    </m:mcPr>
                  </m:mc>
                </m:mcs>
                <m:ctrlPr>
                  <w:rPr>
                    <w:rFonts w:ascii="Cambria Math" w:hAnsi="Cambria Math"/>
                  </w:rPr>
                </m:ctrlPr>
              </m:mPr>
              <m:mr>
                <m:e>
                  <m:r>
                    <m:rPr>
                      <m:sty m:val="p"/>
                    </m:rPr>
                    <w:rPr>
                      <w:rFonts w:ascii="Cambria Math" w:hAnsi="Cambria Math"/>
                    </w:rPr>
                    <m:t>-</m:t>
                  </m:r>
                  <m:r>
                    <w:rPr>
                      <w:rFonts w:ascii="Cambria Math" w:hAnsi="Cambria Math"/>
                    </w:rPr>
                    <m:t>p</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e>
                <m:e>
                  <m:r>
                    <m:rPr>
                      <m:nor/>
                    </m:rPr>
                    <m:t xml:space="preserve">    for</m:t>
                  </m:r>
                </m:e>
                <m:e>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≤0</m:t>
                  </m:r>
                </m:e>
              </m:mr>
              <m:mr>
                <m:e>
                  <m:r>
                    <m:rPr>
                      <m:nor/>
                    </m:rPr>
                    <m:t xml:space="preserve">    </m:t>
                  </m:r>
                  <m:r>
                    <w:rPr>
                      <w:rFonts w:ascii="Cambria Math" w:hAnsi="Cambria Math"/>
                    </w:rPr>
                    <m:t>q</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e>
                <m:e>
                  <m:r>
                    <m:rPr>
                      <m:nor/>
                    </m:rPr>
                    <m:t xml:space="preserve">    for</m:t>
                  </m:r>
                </m:e>
                <m:e>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≥0</m:t>
                  </m:r>
                </m:e>
              </m:mr>
            </m:m>
          </m:e>
        </m:d>
      </m:oMath>
      <w:r w:rsidR="00D922CB">
        <w:t xml:space="preserve">  ,</w:t>
      </w:r>
      <w:r w:rsidR="00D922CB">
        <w:tab/>
        <w:t>(7)</w:t>
      </w:r>
    </w:p>
    <w:p w:rsidR="00D922CB" w:rsidRDefault="00D922CB" w:rsidP="00D922CB">
      <w:pPr>
        <w:pStyle w:val="p1a"/>
      </w:pPr>
      <w:r>
        <w:t xml:space="preserve">where </w:t>
      </w:r>
      <m:oMath>
        <m:r>
          <w:rPr>
            <w:rFonts w:ascii="Cambria Math" w:hAnsi="Cambria Math"/>
          </w:rPr>
          <m:t>v</m:t>
        </m:r>
        <m:r>
          <m:rPr>
            <m:sty m:val="p"/>
          </m:rPr>
          <w:rPr>
            <w:rFonts w:ascii="Cambria Math" w:hAnsi="Cambria Math"/>
          </w:rPr>
          <m:t>∈</m:t>
        </m:r>
        <m:r>
          <w:rPr>
            <w:rFonts w:ascii="Cambria Math" w:hAnsi="Cambria Math"/>
          </w:rPr>
          <m:t>S</m:t>
        </m:r>
      </m:oMath>
      <w:r>
        <w:t xml:space="preserve"> and </w:t>
      </w:r>
      <m:oMath>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D</m:t>
        </m:r>
      </m:oMath>
      <w:r>
        <w:t xml:space="preserve">, while the coefficients </w:t>
      </w:r>
      <m:oMath>
        <m:r>
          <w:rPr>
            <w:rFonts w:ascii="Cambria Math" w:hAnsi="Cambria Math"/>
          </w:rPr>
          <m:t>p</m:t>
        </m:r>
      </m:oMath>
      <w:r>
        <w:t xml:space="preserve"> and </w:t>
      </w:r>
      <m:oMath>
        <m:r>
          <w:rPr>
            <w:rFonts w:ascii="Cambria Math"/>
          </w:rPr>
          <m:t>q</m:t>
        </m:r>
      </m:oMath>
      <w:r>
        <w:t xml:space="preserve"> are positive and – it should be stressed – not necessarily equal. </w:t>
      </w:r>
    </w:p>
    <w:p w:rsidR="00D922CB" w:rsidRDefault="00D922CB" w:rsidP="00D922CB">
      <w:pPr>
        <w:pStyle w:val="p1a"/>
        <w:ind w:firstLine="227"/>
      </w:pPr>
      <w:r>
        <w:t xml:space="preserve">As mentioned in Section 2, the assumed form of the kernel </w:t>
      </w:r>
      <m:oMath>
        <m:sSub>
          <m:sSubPr>
            <m:ctrlPr>
              <w:rPr>
                <w:rFonts w:ascii="Cambria Math" w:hAnsi="Cambria Math"/>
              </w:rPr>
            </m:ctrlPr>
          </m:sSubPr>
          <m:e>
            <m:r>
              <w:rPr>
                <w:rFonts w:ascii="Cambria Math" w:hAnsi="Cambria Math"/>
              </w:rPr>
              <m:t>K</m:t>
            </m:r>
          </m:e>
          <m:sub>
            <m:r>
              <w:rPr>
                <w:rFonts w:ascii="Cambria Math" w:hAnsi="Cambria Math"/>
              </w:rPr>
              <m:t>c</m:t>
            </m:r>
          </m:sub>
        </m:sSub>
      </m:oMath>
      <w:r>
        <w:t xml:space="preserve"> has no practical meaning from the statistical point of view, and thanks to this, in applications a suitable choice for the needs of a concrete applicational task is possible. In the procedure worked out above, it was demanded that the kernel </w:t>
      </w:r>
      <m:oMath>
        <m:sSub>
          <m:sSubPr>
            <m:ctrlPr>
              <w:rPr>
                <w:rFonts w:ascii="Cambria Math" w:hAnsi="Cambria Math"/>
              </w:rPr>
            </m:ctrlPr>
          </m:sSubPr>
          <m:e>
            <m:r>
              <w:rPr>
                <w:rFonts w:ascii="Cambria Math"/>
              </w:rPr>
              <m:t>K</m:t>
            </m:r>
          </m:e>
          <m:sub>
            <m:r>
              <w:rPr>
                <w:rFonts w:ascii="Cambria Math"/>
              </w:rPr>
              <m:t>c</m:t>
            </m:r>
          </m:sub>
        </m:sSub>
      </m:oMath>
      <w:r>
        <w:t xml:space="preserve"> assumes positive values, and its primitive with respect to the first coordinate is expressed by a convenient analytical formula. </w:t>
      </w:r>
    </w:p>
    <w:p w:rsidR="00600141" w:rsidRDefault="00600141" w:rsidP="00600141">
      <w:pPr>
        <w:pStyle w:val="heading1"/>
      </w:pPr>
      <w:r w:rsidRPr="00600141">
        <w:t>Experimental Verification</w:t>
      </w:r>
    </w:p>
    <w:p w:rsidR="00600141" w:rsidRDefault="00600141" w:rsidP="00600141">
      <w:r>
        <w:t xml:space="preserve">The correct functioning of the algorithm presented in this paper has been confirmed with detailed numerical simulation. In any case under research, as the sample size increased, the obtained parameter value converged to the theoretical, and the standard deviation to zero. The above asymptotical features are of fundamental significance from an applicational point of view, as they prove that it is possible to obtain any precision wished, although this requires the assurance of a sufficient random sample size. In practice, therefore, the necessity of the right compromise between these quantities is called for. </w:t>
      </w:r>
    </w:p>
    <w:p w:rsidR="00600141" w:rsidRDefault="00600141" w:rsidP="00600141">
      <w:r>
        <w:t xml:space="preserve">The convergence speed increased as the value </w:t>
      </w:r>
      <m:oMath>
        <m:f>
          <m:fPr>
            <m:ctrlPr>
              <w:rPr>
                <w:rFonts w:ascii="Cambria Math" w:hAnsi="Cambria Math"/>
                <w:i/>
              </w:rPr>
            </m:ctrlPr>
          </m:fPr>
          <m:num>
            <m:r>
              <w:rPr>
                <w:rFonts w:ascii="Cambria Math" w:hAnsi="Cambria Math"/>
              </w:rPr>
              <m:t>p</m:t>
            </m:r>
          </m:num>
          <m:den>
            <m:r>
              <w:rPr>
                <w:rFonts w:ascii="Cambria Math" w:hAnsi="Cambria Math"/>
              </w:rPr>
              <m:t>p+q</m:t>
            </m:r>
          </m:den>
        </m:f>
      </m:oMath>
      <w:r w:rsidR="00DD0A46">
        <w:t xml:space="preserve"> </w:t>
      </w:r>
      <w:r>
        <w:t>was closer to</w:t>
      </w:r>
      <w:r w:rsidR="00DD0A46">
        <w:t xml:space="preserve"> </w:t>
      </w:r>
      <w:sdt>
        <w:sdtPr>
          <w:rPr>
            <w:rFonts w:ascii="Cambria Math" w:hAnsi="Cambria Math"/>
            <w:i/>
          </w:rPr>
          <w:id w:val="-1368067747"/>
          <w:placeholder>
            <w:docPart w:val="DefaultPlaceholder_2098659788"/>
          </w:placeholder>
          <w:temporary/>
          <w:showingPlcHdr/>
          <w:equation/>
        </w:sdtPr>
        <w:sdtContent>
          <m:oMath>
            <m:r>
              <m:rPr>
                <m:sty m:val="p"/>
              </m:rPr>
              <w:rPr>
                <w:rFonts w:ascii="Cambria Math" w:hAnsi="Cambria Math"/>
              </w:rPr>
              <m:t>0,5</m:t>
            </m:r>
          </m:oMath>
        </w:sdtContent>
      </w:sdt>
      <w:r>
        <w:t xml:space="preserve">, although even for extreme cases, i.e. when it neared 0 or 1, satisfactory results were achieved. The </w:t>
      </w:r>
      <w:r>
        <w:lastRenderedPageBreak/>
        <w:t xml:space="preserve">convergence speed also increased as the value of the conditioning variable came within the range of its modal values. These facts are intuitively justified in full. It is worth noting that, the cases where </w:t>
      </w:r>
      <w:sdt>
        <w:sdtPr>
          <w:rPr>
            <w:rFonts w:ascii="Cambria Math" w:hAnsi="Cambria Math"/>
            <w:i/>
          </w:rPr>
          <w:id w:val="590288303"/>
          <w:placeholder>
            <w:docPart w:val="DefaultPlaceholder_2098659788"/>
          </w:placeholder>
          <w:temporary/>
          <w:showingPlcHdr/>
          <w:equation/>
        </w:sdtPr>
        <w:sdtContent>
          <m:oMath>
            <m:r>
              <m:rPr>
                <m:sty m:val="p"/>
              </m:rPr>
              <w:rPr>
                <w:rFonts w:ascii="Cambria Math" w:hAnsi="Cambria Math"/>
              </w:rPr>
              <m:t>r=0,1</m:t>
            </m:r>
          </m:oMath>
        </w:sdtContent>
      </w:sdt>
      <w:r w:rsidR="00DD0A46">
        <w:t xml:space="preserve"> </w:t>
      </w:r>
      <w:r>
        <w:t xml:space="preserve">or </w:t>
      </w:r>
      <w:sdt>
        <w:sdtPr>
          <w:rPr>
            <w:rFonts w:ascii="Cambria Math" w:hAnsi="Cambria Math"/>
            <w:i/>
          </w:rPr>
          <w:id w:val="639705220"/>
          <w:placeholder>
            <w:docPart w:val="DefaultPlaceholder_2098659788"/>
          </w:placeholder>
          <w:temporary/>
          <w:showingPlcHdr/>
          <w:equation/>
        </w:sdtPr>
        <w:sdtContent>
          <m:oMath>
            <m:r>
              <m:rPr>
                <m:sty m:val="p"/>
              </m:rPr>
              <w:rPr>
                <w:rFonts w:ascii="Cambria Math" w:hAnsi="Cambria Math"/>
              </w:rPr>
              <m:t>r=0,9</m:t>
            </m:r>
          </m:oMath>
        </w:sdtContent>
      </w:sdt>
      <w:r w:rsidR="00DD0A46">
        <w:t xml:space="preserve"> </w:t>
      </w:r>
      <w:r>
        <w:t xml:space="preserve">and when the value of the conditioning variable appears in the neighborhood of its second standard deviation, generally become very difficult problems, which are naturally associated with greater demands, and for some classical methods actually impossible to carry out in practice at all. </w:t>
      </w:r>
    </w:p>
    <w:p w:rsidR="00600141" w:rsidRDefault="00600141" w:rsidP="00600141">
      <w:r>
        <w:t xml:space="preserve">The above corollaries have been successfully proven in numerous obtained results of numerical simulation, including those for multimodal and asymmetrical distributions, taking into account binary conditioning factors, inference for lack of data from the neighborhood of a fixed value of a conditioning variable, as well as an additional procedure for boundaries of a support; for many details see (Kowalski, 2005). </w:t>
      </w:r>
    </w:p>
    <w:p w:rsidR="00600141" w:rsidRDefault="00600141" w:rsidP="00600141">
      <w:r>
        <w:t>Returning to the example presented at the beginning of Section 3 from the time-optimal control field, extensive simulation and experimental research was carried out, and confirmed the concept described. In particular assuming the coefficients p and q such that</w:t>
      </w:r>
      <w:r w:rsidR="00DD0A46">
        <w:t xml:space="preserve"> </w:t>
      </w:r>
      <w:sdt>
        <w:sdtPr>
          <w:rPr>
            <w:rFonts w:ascii="Cambria Math" w:hAnsi="Cambria Math"/>
            <w:i/>
          </w:rPr>
          <w:id w:val="817683063"/>
          <w:placeholder>
            <w:docPart w:val="DefaultPlaceholder_2098659788"/>
          </w:placeholder>
          <w:temporary/>
          <w:showingPlcHdr/>
          <w:equation/>
        </w:sdtPr>
        <w:sdtContent>
          <m:oMath>
            <m:f>
              <m:fPr>
                <m:ctrlPr>
                  <w:rPr>
                    <w:rFonts w:ascii="Cambria Math" w:hAnsi="Cambria Math"/>
                    <w:i/>
                  </w:rPr>
                </m:ctrlPr>
              </m:fPr>
              <m:num>
                <m:r>
                  <w:rPr>
                    <w:rFonts w:ascii="Cambria Math" w:hAnsi="Cambria Math"/>
                  </w:rPr>
                  <m:t>p</m:t>
                </m:r>
              </m:num>
              <m:den>
                <m:r>
                  <w:rPr>
                    <w:rFonts w:ascii="Cambria Math" w:hAnsi="Cambria Math"/>
                  </w:rPr>
                  <m:t>q</m:t>
                </m:r>
              </m:den>
            </m:f>
            <m:r>
              <w:rPr>
                <w:rFonts w:ascii="Cambria Math" w:hAnsi="Cambria Math"/>
              </w:rPr>
              <m:t>=0,2</m:t>
            </m:r>
          </m:oMath>
        </w:sdtContent>
      </w:sdt>
      <w:r>
        <w:t xml:space="preserve">, sliding trajectories clearly outnumbered over-regulations in the system, giving a time of about 10% less than that for results obtained using the mean value, and about 5% shorter than in the case of the classical sliding mode control (Athans and Falb, 1966; Utkin, 1992), where sliding trajectories had a notably larger number of switchings, which lowered their effectiveness. The algorithm worked out here was also applied in the identification of other parameters existing in the following related systems: inertia coefficient of a drive and value of motion resistance (Kowalski, 2000). The application of the concept presented in this paper simultaneously in different causes of uncertainty – e.g. mass (load), inertia of a drive, motion resistance – did not hinder the operation of the system; on the contrary, under- and overestimations of different parameters showed a tendency to mutual compensation. In this situation, the increase in the time to reach the target set was less than the simple sum of such increases resulting from the uncertainty of particular factors. </w:t>
      </w:r>
    </w:p>
    <w:p w:rsidR="00D922CB" w:rsidRPr="00D922CB" w:rsidRDefault="00600141" w:rsidP="00600141">
      <w:r>
        <w:t>Finally it is worth stressing that in every case researched, precision of the characteristics describing the parameter under investigation by providing the proper value for conditioning factors improved the result in proportion to the degree of differentiation of object features with respect to those factors. This occurred in the case of random changes in values for these factors, as well as regular object non-stationarity resulting for example from daily temperature fluctuations. In today’s age of ever more available current measurement data and the possibility of instant inclusion in digital control algorithms used, this should be particularly underlined, providing real advantages from the procedure presented in this paper.</w:t>
      </w:r>
    </w:p>
    <w:p w:rsidR="00606587" w:rsidRDefault="009B2539" w:rsidP="00600141">
      <w:pPr>
        <w:pStyle w:val="heading1"/>
        <w:numPr>
          <w:ilvl w:val="0"/>
          <w:numId w:val="0"/>
        </w:numPr>
      </w:pPr>
      <w:r>
        <w:t>References</w:t>
      </w:r>
    </w:p>
    <w:p w:rsidR="00606587" w:rsidRDefault="00600141" w:rsidP="00606587">
      <w:pPr>
        <w:pStyle w:val="referenceitem"/>
      </w:pPr>
      <w:r w:rsidRPr="00600141">
        <w:t>Ath</w:t>
      </w:r>
      <w:bookmarkStart w:id="8" w:name="_GoBack"/>
      <w:bookmarkEnd w:id="8"/>
      <w:r w:rsidRPr="00600141">
        <w:t>ans</w:t>
      </w:r>
      <w:r w:rsidR="009B2539">
        <w:t>,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Author, F., Author, S., Author, T.: Book title. 2nd edn. Publisher, Location (1999).</w:t>
      </w:r>
    </w:p>
    <w:p w:rsidR="002C5825" w:rsidRDefault="009B2539" w:rsidP="00606587">
      <w:pPr>
        <w:pStyle w:val="referenceitem"/>
      </w:pPr>
      <w:r>
        <w:lastRenderedPageBreak/>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9" w:history="1">
        <w:r w:rsidRPr="00FB3EC4">
          <w:rPr>
            <w:rStyle w:val="Hipercze"/>
          </w:rPr>
          <w:t>http://www.springer.com/lncs</w:t>
        </w:r>
      </w:hyperlink>
      <w:r>
        <w:t>, last accessed 2016/11/21.</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41F58" w:rsidRDefault="00241F58">
      <w:r>
        <w:separator/>
      </w:r>
    </w:p>
  </w:endnote>
  <w:endnote w:type="continuationSeparator" w:id="0">
    <w:p w:rsidR="00241F58" w:rsidRDefault="00241F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EE"/>
    <w:family w:val="swiss"/>
    <w:pitch w:val="variable"/>
    <w:sig w:usb0="E4002EFF" w:usb1="C000E47F" w:usb2="00000009" w:usb3="00000000" w:csb0="000001FF" w:csb1="00000000"/>
  </w:font>
  <w:font w:name="Cambria Math">
    <w:panose1 w:val="02040503050406030204"/>
    <w:charset w:val="EE"/>
    <w:family w:val="roman"/>
    <w:pitch w:val="variable"/>
    <w:sig w:usb0="E00006FF" w:usb1="420024FF" w:usb2="02000000" w:usb3="00000000" w:csb0="0000019F" w:csb1="00000000"/>
  </w:font>
  <w:font w:name="Cambria">
    <w:panose1 w:val="02040503050406030204"/>
    <w:charset w:val="EE"/>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41F58" w:rsidRDefault="00241F58" w:rsidP="009F7FCE">
      <w:pPr>
        <w:ind w:firstLine="0"/>
      </w:pPr>
      <w:r>
        <w:separator/>
      </w:r>
    </w:p>
  </w:footnote>
  <w:footnote w:type="continuationSeparator" w:id="0">
    <w:p w:rsidR="00241F58" w:rsidRDefault="00241F5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Nagwek"/>
    </w:pPr>
    <w:r>
      <w:fldChar w:fldCharType="begin"/>
    </w:r>
    <w:r>
      <w:instrText>PAGE   \* MERGEFORMAT</w:instrText>
    </w:r>
    <w:r>
      <w:fldChar w:fldCharType="separate"/>
    </w:r>
    <w:r w:rsidR="00ED35A5">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600141" w:rsidP="002D48C5">
    <w:pPr>
      <w:pStyle w:val="Nagwek"/>
      <w:jc w:val="right"/>
    </w:pPr>
    <w:r>
      <w:t>1</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933F9"/>
    <w:rsid w:val="001A02F0"/>
    <w:rsid w:val="00241F58"/>
    <w:rsid w:val="002A488F"/>
    <w:rsid w:val="002D48C5"/>
    <w:rsid w:val="00600141"/>
    <w:rsid w:val="0068401D"/>
    <w:rsid w:val="00704AC7"/>
    <w:rsid w:val="00853E67"/>
    <w:rsid w:val="008F2D4C"/>
    <w:rsid w:val="00905096"/>
    <w:rsid w:val="009930E4"/>
    <w:rsid w:val="009B2539"/>
    <w:rsid w:val="009F7FCE"/>
    <w:rsid w:val="00B23481"/>
    <w:rsid w:val="00B80C3D"/>
    <w:rsid w:val="00BE7D64"/>
    <w:rsid w:val="00D922CB"/>
    <w:rsid w:val="00DC2CA9"/>
    <w:rsid w:val="00DD0A46"/>
    <w:rsid w:val="00E603C7"/>
    <w:rsid w:val="00E9678F"/>
    <w:rsid w:val="00ED35A5"/>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C8050F9"/>
  <w15:docId w15:val="{B90A07BC-2318-4690-BB15-886DCE536C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ny">
    <w:name w:val="Normal"/>
    <w:qFormat/>
    <w:rsid w:val="00CE7667"/>
    <w:pPr>
      <w:overflowPunct w:val="0"/>
      <w:autoSpaceDE w:val="0"/>
      <w:autoSpaceDN w:val="0"/>
      <w:adjustRightInd w:val="0"/>
      <w:ind w:firstLine="227"/>
      <w:jc w:val="both"/>
      <w:textAlignment w:val="baseline"/>
    </w:pPr>
  </w:style>
  <w:style w:type="paragraph" w:styleId="Nagwek1">
    <w:name w:val="heading 1"/>
    <w:basedOn w:val="Normalny"/>
    <w:next w:val="p1a"/>
    <w:semiHidden/>
    <w:unhideWhenUsed/>
    <w:qFormat/>
    <w:pPr>
      <w:keepNext/>
      <w:keepLines/>
      <w:suppressAutoHyphens/>
      <w:spacing w:before="360" w:after="240" w:line="300" w:lineRule="atLeast"/>
      <w:ind w:left="567" w:hanging="567"/>
      <w:jc w:val="left"/>
      <w:outlineLvl w:val="0"/>
    </w:pPr>
    <w:rPr>
      <w:b/>
      <w:sz w:val="24"/>
    </w:rPr>
  </w:style>
  <w:style w:type="paragraph" w:styleId="Nagwek2">
    <w:name w:val="heading 2"/>
    <w:basedOn w:val="Normalny"/>
    <w:next w:val="p1a"/>
    <w:semiHidden/>
    <w:unhideWhenUsed/>
    <w:qFormat/>
    <w:pPr>
      <w:keepNext/>
      <w:keepLines/>
      <w:suppressAutoHyphens/>
      <w:spacing w:before="360" w:after="160"/>
      <w:ind w:left="567" w:hanging="567"/>
      <w:jc w:val="left"/>
      <w:outlineLvl w:val="1"/>
    </w:pPr>
    <w:rPr>
      <w:b/>
    </w:rPr>
  </w:style>
  <w:style w:type="paragraph" w:styleId="Nagwek3">
    <w:name w:val="heading 3"/>
    <w:basedOn w:val="Normalny"/>
    <w:next w:val="Normalny"/>
    <w:qFormat/>
    <w:pPr>
      <w:spacing w:before="360"/>
      <w:ind w:firstLine="0"/>
      <w:outlineLvl w:val="2"/>
    </w:pPr>
  </w:style>
  <w:style w:type="paragraph" w:styleId="Nagwek4">
    <w:name w:val="heading 4"/>
    <w:basedOn w:val="Normalny"/>
    <w:next w:val="Normalny"/>
    <w:qFormat/>
    <w:pPr>
      <w:spacing w:before="240"/>
      <w:ind w:firstLine="0"/>
      <w:outlineLvl w:val="3"/>
    </w:p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abstract">
    <w:name w:val="abstract"/>
    <w:basedOn w:val="Normalny"/>
    <w:pPr>
      <w:spacing w:before="600" w:after="360" w:line="220" w:lineRule="atLeast"/>
      <w:ind w:left="567" w:right="567"/>
      <w:contextualSpacing/>
    </w:pPr>
    <w:rPr>
      <w:sz w:val="18"/>
    </w:rPr>
  </w:style>
  <w:style w:type="paragraph" w:customStyle="1" w:styleId="address">
    <w:name w:val="address"/>
    <w:basedOn w:val="Normalny"/>
    <w:pPr>
      <w:spacing w:after="200" w:line="220" w:lineRule="atLeast"/>
      <w:ind w:firstLine="0"/>
      <w:contextualSpacing/>
      <w:jc w:val="center"/>
    </w:pPr>
    <w:rPr>
      <w:sz w:val="18"/>
    </w:rPr>
  </w:style>
  <w:style w:type="numbering" w:customStyle="1" w:styleId="arabnumitem">
    <w:name w:val="arabnumitem"/>
    <w:basedOn w:val="Bezlisty"/>
    <w:pPr>
      <w:numPr>
        <w:numId w:val="5"/>
      </w:numPr>
    </w:pPr>
  </w:style>
  <w:style w:type="paragraph" w:customStyle="1" w:styleId="author">
    <w:name w:val="author"/>
    <w:basedOn w:val="Normalny"/>
    <w:next w:val="address"/>
    <w:pPr>
      <w:spacing w:after="200" w:line="220" w:lineRule="atLeast"/>
      <w:ind w:firstLine="0"/>
      <w:jc w:val="center"/>
    </w:pPr>
  </w:style>
  <w:style w:type="paragraph" w:customStyle="1" w:styleId="bulletitem">
    <w:name w:val="bulletitem"/>
    <w:basedOn w:val="Normalny"/>
    <w:pPr>
      <w:numPr>
        <w:numId w:val="2"/>
      </w:numPr>
      <w:spacing w:before="160" w:after="160"/>
      <w:contextualSpacing/>
    </w:pPr>
  </w:style>
  <w:style w:type="paragraph" w:customStyle="1" w:styleId="dashitem">
    <w:name w:val="dashitem"/>
    <w:basedOn w:val="Normalny"/>
    <w:pPr>
      <w:numPr>
        <w:numId w:val="4"/>
      </w:numPr>
      <w:spacing w:before="160" w:after="160"/>
      <w:contextualSpacing/>
    </w:pPr>
  </w:style>
  <w:style w:type="character" w:customStyle="1" w:styleId="e-mail">
    <w:name w:val="e-mail"/>
    <w:basedOn w:val="Domylnaczcionkaakapitu"/>
    <w:rPr>
      <w:rFonts w:ascii="Courier" w:hAnsi="Courier"/>
      <w:noProof/>
    </w:rPr>
  </w:style>
  <w:style w:type="paragraph" w:customStyle="1" w:styleId="equation">
    <w:name w:val="equation"/>
    <w:basedOn w:val="Normalny"/>
    <w:next w:val="Normalny"/>
    <w:pPr>
      <w:tabs>
        <w:tab w:val="center" w:pos="3289"/>
        <w:tab w:val="right" w:pos="6917"/>
      </w:tabs>
      <w:spacing w:before="160" w:after="160"/>
      <w:ind w:firstLine="0"/>
    </w:pPr>
  </w:style>
  <w:style w:type="paragraph" w:customStyle="1" w:styleId="figurecaption">
    <w:name w:val="figurecaption"/>
    <w:basedOn w:val="Normalny"/>
    <w:next w:val="Normalny"/>
    <w:pPr>
      <w:keepLines/>
      <w:spacing w:before="120" w:after="240" w:line="220" w:lineRule="atLeast"/>
      <w:ind w:firstLine="0"/>
      <w:jc w:val="center"/>
    </w:pPr>
    <w:rPr>
      <w:sz w:val="18"/>
    </w:rPr>
  </w:style>
  <w:style w:type="character" w:styleId="Odwoanieprzypisudolnego">
    <w:name w:val="footnote reference"/>
    <w:basedOn w:val="Domylnaczcionkaakapitu"/>
    <w:semiHidden/>
    <w:unhideWhenUsed/>
    <w:rPr>
      <w:position w:val="0"/>
      <w:vertAlign w:val="superscript"/>
    </w:rPr>
  </w:style>
  <w:style w:type="paragraph" w:styleId="Stopka">
    <w:name w:val="footer"/>
    <w:basedOn w:val="Normalny"/>
    <w:unhideWhenUsed/>
  </w:style>
  <w:style w:type="paragraph" w:customStyle="1" w:styleId="heading1">
    <w:name w:val="heading1"/>
    <w:basedOn w:val="Normalny"/>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ny"/>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Domylnaczcionkaakapitu"/>
    <w:rPr>
      <w:b/>
    </w:rPr>
  </w:style>
  <w:style w:type="character" w:customStyle="1" w:styleId="heading4">
    <w:name w:val="heading4"/>
    <w:basedOn w:val="Domylnaczcionkaakapitu"/>
    <w:rPr>
      <w:i/>
    </w:rPr>
  </w:style>
  <w:style w:type="numbering" w:customStyle="1" w:styleId="headings">
    <w:name w:val="headings"/>
    <w:basedOn w:val="arabnumitem"/>
    <w:pPr>
      <w:numPr>
        <w:numId w:val="7"/>
      </w:numPr>
    </w:pPr>
  </w:style>
  <w:style w:type="character" w:styleId="Hipercze">
    <w:name w:val="Hyperlink"/>
    <w:basedOn w:val="Domylnaczcionkaakapitu"/>
    <w:semiHidden/>
    <w:unhideWhenUsed/>
    <w:rPr>
      <w:color w:val="auto"/>
      <w:u w:val="none"/>
    </w:rPr>
  </w:style>
  <w:style w:type="paragraph" w:customStyle="1" w:styleId="image">
    <w:name w:val="image"/>
    <w:basedOn w:val="Normalny"/>
    <w:next w:val="Normalny"/>
    <w:pPr>
      <w:spacing w:before="240" w:after="120"/>
      <w:ind w:firstLine="0"/>
      <w:jc w:val="center"/>
    </w:pPr>
  </w:style>
  <w:style w:type="numbering" w:customStyle="1" w:styleId="itemization1">
    <w:name w:val="itemization1"/>
    <w:basedOn w:val="Bezlisty"/>
    <w:pPr>
      <w:numPr>
        <w:numId w:val="1"/>
      </w:numPr>
    </w:pPr>
  </w:style>
  <w:style w:type="numbering" w:customStyle="1" w:styleId="itemization2">
    <w:name w:val="itemization2"/>
    <w:basedOn w:val="Bezlisty"/>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Nagwek">
    <w:name w:val="header"/>
    <w:basedOn w:val="Normalny"/>
    <w:unhideWhenUsed/>
    <w:pPr>
      <w:tabs>
        <w:tab w:val="center" w:pos="4536"/>
        <w:tab w:val="right" w:pos="9072"/>
      </w:tabs>
      <w:ind w:firstLine="0"/>
    </w:pPr>
    <w:rPr>
      <w:sz w:val="18"/>
      <w:szCs w:val="18"/>
    </w:rPr>
  </w:style>
  <w:style w:type="paragraph" w:customStyle="1" w:styleId="numitem">
    <w:name w:val="numitem"/>
    <w:basedOn w:val="Normalny"/>
    <w:pPr>
      <w:numPr>
        <w:numId w:val="6"/>
      </w:numPr>
      <w:spacing w:before="160" w:after="160"/>
      <w:contextualSpacing/>
    </w:pPr>
  </w:style>
  <w:style w:type="paragraph" w:customStyle="1" w:styleId="p1a">
    <w:name w:val="p1a"/>
    <w:basedOn w:val="Normalny"/>
    <w:next w:val="Normalny"/>
    <w:pPr>
      <w:ind w:firstLine="0"/>
    </w:pPr>
  </w:style>
  <w:style w:type="paragraph" w:customStyle="1" w:styleId="programcode">
    <w:name w:val="programcode"/>
    <w:basedOn w:val="Normalny"/>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ny"/>
    <w:pPr>
      <w:numPr>
        <w:numId w:val="9"/>
      </w:numPr>
      <w:spacing w:line="220" w:lineRule="atLeast"/>
    </w:pPr>
    <w:rPr>
      <w:sz w:val="18"/>
    </w:rPr>
  </w:style>
  <w:style w:type="numbering" w:customStyle="1" w:styleId="referencelist">
    <w:name w:val="referencelist"/>
    <w:basedOn w:val="Bezlisty"/>
    <w:semiHidden/>
    <w:pPr>
      <w:numPr>
        <w:numId w:val="8"/>
      </w:numPr>
    </w:pPr>
  </w:style>
  <w:style w:type="paragraph" w:customStyle="1" w:styleId="runninghead-left">
    <w:name w:val="running head - left"/>
    <w:basedOn w:val="Normalny"/>
    <w:pPr>
      <w:ind w:firstLine="0"/>
      <w:jc w:val="left"/>
    </w:pPr>
    <w:rPr>
      <w:sz w:val="18"/>
      <w:szCs w:val="18"/>
    </w:rPr>
  </w:style>
  <w:style w:type="paragraph" w:customStyle="1" w:styleId="runninghead-right">
    <w:name w:val="running head - right"/>
    <w:basedOn w:val="Normalny"/>
    <w:pPr>
      <w:ind w:firstLine="0"/>
      <w:jc w:val="right"/>
    </w:pPr>
    <w:rPr>
      <w:bCs/>
      <w:sz w:val="18"/>
      <w:szCs w:val="18"/>
    </w:rPr>
  </w:style>
  <w:style w:type="character" w:styleId="Numerstrony">
    <w:name w:val="page number"/>
    <w:basedOn w:val="Domylnaczcionkaakapitu"/>
    <w:semiHidden/>
    <w:unhideWhenUsed/>
    <w:rPr>
      <w:sz w:val="18"/>
    </w:rPr>
  </w:style>
  <w:style w:type="paragraph" w:customStyle="1" w:styleId="papertitle">
    <w:name w:val="papertitle"/>
    <w:basedOn w:val="Normalny"/>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ny"/>
    <w:next w:val="Normalny"/>
    <w:pPr>
      <w:keepNext/>
      <w:keepLines/>
      <w:spacing w:before="240" w:after="120" w:line="220" w:lineRule="atLeast"/>
      <w:ind w:firstLine="0"/>
      <w:jc w:val="center"/>
    </w:pPr>
    <w:rPr>
      <w:sz w:val="18"/>
    </w:rPr>
  </w:style>
  <w:style w:type="character" w:customStyle="1" w:styleId="url">
    <w:name w:val="url"/>
    <w:basedOn w:val="Domylnaczcionkaakapitu"/>
    <w:rPr>
      <w:rFonts w:ascii="Courier" w:hAnsi="Courier"/>
      <w:noProof/>
    </w:rPr>
  </w:style>
  <w:style w:type="character" w:customStyle="1" w:styleId="ORCID">
    <w:name w:val="ORCID"/>
    <w:basedOn w:val="Domylnaczcionkaakapitu"/>
    <w:rPr>
      <w:position w:val="0"/>
      <w:vertAlign w:val="superscript"/>
    </w:rPr>
  </w:style>
  <w:style w:type="paragraph" w:styleId="Tekstprzypisudolnego">
    <w:name w:val="footnote text"/>
    <w:basedOn w:val="Normalny"/>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Zwykytekst">
    <w:name w:val="Plain Text"/>
    <w:basedOn w:val="Normalny"/>
    <w:link w:val="ZwykytekstZnak"/>
    <w:semiHidden/>
    <w:rsid w:val="00B80C3D"/>
    <w:pPr>
      <w:overflowPunct/>
      <w:autoSpaceDE/>
      <w:autoSpaceDN/>
      <w:adjustRightInd/>
      <w:spacing w:line="240" w:lineRule="auto"/>
      <w:ind w:firstLine="0"/>
      <w:jc w:val="left"/>
      <w:textAlignment w:val="auto"/>
    </w:pPr>
    <w:rPr>
      <w:rFonts w:ascii="Courier New" w:hAnsi="Courier New"/>
      <w:szCs w:val="24"/>
      <w:lang w:val="pl-PL" w:eastAsia="pl-PL"/>
    </w:rPr>
  </w:style>
  <w:style w:type="character" w:customStyle="1" w:styleId="ZwykytekstZnak">
    <w:name w:val="Zwykły tekst Znak"/>
    <w:basedOn w:val="Domylnaczcionkaakapitu"/>
    <w:link w:val="Zwykytekst"/>
    <w:semiHidden/>
    <w:rsid w:val="00B80C3D"/>
    <w:rPr>
      <w:rFonts w:ascii="Courier New" w:hAnsi="Courier New"/>
      <w:szCs w:val="24"/>
      <w:lang w:val="pl-PL" w:eastAsia="pl-PL"/>
    </w:rPr>
  </w:style>
  <w:style w:type="character" w:styleId="Tekstzastpczy">
    <w:name w:val="Placeholder Text"/>
    <w:basedOn w:val="Domylnaczcionkaakapitu"/>
    <w:semiHidden/>
    <w:rsid w:val="002A488F"/>
    <w:rPr>
      <w:color w:val="808080"/>
    </w:rPr>
  </w:style>
  <w:style w:type="paragraph" w:styleId="Tekstpodstawowy">
    <w:name w:val="Body Text"/>
    <w:basedOn w:val="Normalny"/>
    <w:link w:val="TekstpodstawowyZnak"/>
    <w:semiHidden/>
    <w:rsid w:val="00853E67"/>
    <w:pPr>
      <w:tabs>
        <w:tab w:val="left" w:pos="567"/>
        <w:tab w:val="left" w:pos="2534"/>
        <w:tab w:val="right" w:pos="8789"/>
      </w:tabs>
      <w:overflowPunct/>
      <w:autoSpaceDE/>
      <w:autoSpaceDN/>
      <w:adjustRightInd/>
      <w:spacing w:line="360" w:lineRule="auto"/>
      <w:ind w:firstLine="567"/>
      <w:textAlignment w:val="auto"/>
    </w:pPr>
    <w:rPr>
      <w:sz w:val="22"/>
      <w:szCs w:val="24"/>
      <w:lang w:val="pl-PL" w:eastAsia="pl-PL"/>
    </w:rPr>
  </w:style>
  <w:style w:type="character" w:customStyle="1" w:styleId="TekstpodstawowyZnak">
    <w:name w:val="Tekst podstawowy Znak"/>
    <w:basedOn w:val="Domylnaczcionkaakapitu"/>
    <w:link w:val="Tekstpodstawowy"/>
    <w:semiHidden/>
    <w:rsid w:val="00853E67"/>
    <w:rPr>
      <w:sz w:val="22"/>
      <w:szCs w:val="24"/>
      <w:lang w:val="pl-PL" w:eastAsia="pl-PL"/>
    </w:rPr>
  </w:style>
  <w:style w:type="paragraph" w:styleId="Tekstpodstawowywcity">
    <w:name w:val="Body Text Indent"/>
    <w:basedOn w:val="Normalny"/>
    <w:link w:val="TekstpodstawowywcityZnak"/>
    <w:semiHidden/>
    <w:unhideWhenUsed/>
    <w:rsid w:val="00600141"/>
    <w:pPr>
      <w:spacing w:after="120"/>
      <w:ind w:left="283"/>
    </w:pPr>
  </w:style>
  <w:style w:type="character" w:customStyle="1" w:styleId="TekstpodstawowywcityZnak">
    <w:name w:val="Tekst podstawowy wcięty Znak"/>
    <w:basedOn w:val="Domylnaczcionkaakapitu"/>
    <w:link w:val="Tekstpodstawowywcity"/>
    <w:semiHidden/>
    <w:rsid w:val="00600141"/>
  </w:style>
  <w:style w:type="paragraph" w:styleId="Tekstdymka">
    <w:name w:val="Balloon Text"/>
    <w:basedOn w:val="Normalny"/>
    <w:link w:val="TekstdymkaZnak"/>
    <w:semiHidden/>
    <w:rsid w:val="00ED35A5"/>
    <w:pPr>
      <w:spacing w:line="240" w:lineRule="auto"/>
    </w:pPr>
    <w:rPr>
      <w:rFonts w:ascii="Segoe UI" w:hAnsi="Segoe UI" w:cs="Segoe UI"/>
      <w:sz w:val="18"/>
      <w:szCs w:val="18"/>
    </w:rPr>
  </w:style>
  <w:style w:type="character" w:customStyle="1" w:styleId="TekstdymkaZnak">
    <w:name w:val="Tekst dymka Znak"/>
    <w:basedOn w:val="Domylnaczcionkaakapitu"/>
    <w:link w:val="Tekstdymka"/>
    <w:semiHidden/>
    <w:rsid w:val="00ED35A5"/>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springer.com/lncs" TargetMode="Externa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2098659788"/>
        <w:category>
          <w:name w:val="Ogólne"/>
          <w:gallery w:val="placeholder"/>
        </w:category>
        <w:types>
          <w:type w:val="bbPlcHdr"/>
        </w:types>
        <w:behaviors>
          <w:behavior w:val="content"/>
        </w:behaviors>
        <w:guid w:val="{68A51DB5-DE04-4EDB-9AA4-55AE72BB2F58}"/>
      </w:docPartPr>
      <w:docPartBody>
        <w:p w:rsidR="00000000" w:rsidRDefault="00923F30">
          <w:r w:rsidRPr="00B76DF4">
            <w:rPr>
              <w:rStyle w:val="Tekstzastpczy"/>
            </w:rPr>
            <w:t>Wpisz tutaj równanie.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EE"/>
    <w:family w:val="swiss"/>
    <w:pitch w:val="variable"/>
    <w:sig w:usb0="E4002EFF" w:usb1="C000E47F" w:usb2="00000009" w:usb3="00000000" w:csb0="000001FF" w:csb1="00000000"/>
  </w:font>
  <w:font w:name="Cambria Math">
    <w:panose1 w:val="02040503050406030204"/>
    <w:charset w:val="EE"/>
    <w:family w:val="roman"/>
    <w:pitch w:val="variable"/>
    <w:sig w:usb0="E00006FF" w:usb1="420024FF" w:usb2="02000000" w:usb3="00000000" w:csb0="0000019F" w:csb1="00000000"/>
  </w:font>
  <w:font w:name="Cambria">
    <w:panose1 w:val="02040503050406030204"/>
    <w:charset w:val="EE"/>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23F30"/>
    <w:rsid w:val="00923F30"/>
    <w:rsid w:val="00D61CD2"/>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pl-PL" w:eastAsia="pl-PL"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ny">
    <w:name w:val="Normal"/>
    <w:qFormat/>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character" w:styleId="Tekstzastpczy">
    <w:name w:val="Placeholder Text"/>
    <w:basedOn w:val="Domylnaczcionkaakapitu"/>
    <w:semiHidden/>
    <w:rsid w:val="00923F30"/>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1EAEC58-9475-4F83-BB77-9DACA5EEE4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5</Pages>
  <Words>1758</Words>
  <Characters>10549</Characters>
  <Application>Microsoft Office Word</Application>
  <DocSecurity>0</DocSecurity>
  <Lines>87</Lines>
  <Paragraphs>24</Paragraphs>
  <ScaleCrop>false</ScaleCrop>
  <HeadingPairs>
    <vt:vector size="4" baseType="variant">
      <vt:variant>
        <vt:lpstr>Tytuł</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12283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Bartos Aleksandra</cp:lastModifiedBy>
  <cp:revision>2</cp:revision>
  <dcterms:created xsi:type="dcterms:W3CDTF">2020-02-26T08:45:00Z</dcterms:created>
  <dcterms:modified xsi:type="dcterms:W3CDTF">2020-02-26T08:45:00Z</dcterms:modified>
</cp:coreProperties>
</file>