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2F28" w14:textId="020C431B" w:rsidR="007242BC" w:rsidRDefault="007242BC">
      <w:pPr>
        <w:rPr>
          <w:b/>
          <w:bCs/>
          <w:sz w:val="36"/>
          <w:szCs w:val="36"/>
        </w:rPr>
      </w:pPr>
      <w:r w:rsidRPr="007242BC">
        <w:rPr>
          <w:b/>
          <w:bCs/>
          <w:sz w:val="36"/>
          <w:szCs w:val="36"/>
        </w:rPr>
        <w:t>Secure Genomic Data Sharing Consortium (Polygon-based Tokenized Access Platform)</w:t>
      </w:r>
    </w:p>
    <w:p w14:paraId="35706518" w14:textId="28CFC36E" w:rsidR="007242BC" w:rsidRPr="007242BC" w:rsidRDefault="007242BC" w:rsidP="007242BC">
      <w:pPr>
        <w:rPr>
          <w:b/>
          <w:bCs/>
          <w:sz w:val="36"/>
          <w:szCs w:val="36"/>
        </w:rPr>
      </w:pPr>
      <w:r w:rsidRPr="00397A44">
        <w:rPr>
          <w:b/>
          <w:bCs/>
        </w:rPr>
        <w:t>Version:</w:t>
      </w:r>
      <w:r w:rsidRPr="00397A44">
        <w:t xml:space="preserve"> 1.0 –</w:t>
      </w:r>
      <w:r>
        <w:t xml:space="preserve"> 02/10/2025</w:t>
      </w:r>
    </w:p>
    <w:p w14:paraId="33E329A1" w14:textId="77777777" w:rsidR="007242BC" w:rsidRPr="007242BC" w:rsidRDefault="00000000" w:rsidP="007242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5BE21F9">
          <v:rect id="_x0000_i1025" style="width:0;height:1.5pt" o:hralign="center" o:hrstd="t" o:hr="t" fillcolor="#a0a0a0" stroked="f"/>
        </w:pict>
      </w:r>
    </w:p>
    <w:p w14:paraId="2CC0CC26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1. Purpose of the DPIA</w:t>
      </w:r>
    </w:p>
    <w:p w14:paraId="7B648C4B" w14:textId="77777777" w:rsidR="007242BC" w:rsidRPr="007242BC" w:rsidRDefault="007242BC" w:rsidP="007242BC">
      <w:r w:rsidRPr="007242BC">
        <w:t>This DPIA evaluates privacy and data protection risks associated with the collection, storage, and controlled sharing of genomic data through a hybrid blockchain/off-chain architecture. The platform is non-profit and designed for research only.</w:t>
      </w:r>
    </w:p>
    <w:p w14:paraId="5B6705D1" w14:textId="77777777" w:rsidR="007242BC" w:rsidRPr="007242BC" w:rsidRDefault="00000000" w:rsidP="007242BC">
      <w:r>
        <w:pict w14:anchorId="0A2A1265">
          <v:rect id="_x0000_i1026" style="width:0;height:1.5pt" o:hralign="center" o:hrstd="t" o:hr="t" fillcolor="#a0a0a0" stroked="f"/>
        </w:pict>
      </w:r>
    </w:p>
    <w:p w14:paraId="1A570469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2. Data Processing Overview</w:t>
      </w:r>
    </w:p>
    <w:p w14:paraId="1750EFB0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Data collected: genomic sequence data, encrypted embeddings, associated metadata (age, sex, phenotype).</w:t>
      </w:r>
    </w:p>
    <w:p w14:paraId="1707E79D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Special category data: Yes – genetic and health data (GDPR Art. 9).</w:t>
      </w:r>
    </w:p>
    <w:p w14:paraId="254D401D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Storage location: laboratories/institutions that sequenced the data (off-chain, secure servers).</w:t>
      </w:r>
    </w:p>
    <w:p w14:paraId="1FA1565A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Blockchain use: Polygon Layer 2 records only:</w:t>
      </w:r>
    </w:p>
    <w:p w14:paraId="0B7A8EEB" w14:textId="77777777" w:rsidR="007242BC" w:rsidRPr="007242BC" w:rsidRDefault="007242BC" w:rsidP="007242BC">
      <w:pPr>
        <w:numPr>
          <w:ilvl w:val="1"/>
          <w:numId w:val="1"/>
        </w:numPr>
      </w:pPr>
      <w:r w:rsidRPr="007242BC">
        <w:t>symbolic dataset tokens (no raw data),</w:t>
      </w:r>
    </w:p>
    <w:p w14:paraId="77C98723" w14:textId="77777777" w:rsidR="007242BC" w:rsidRPr="007242BC" w:rsidRDefault="007242BC" w:rsidP="007242BC">
      <w:pPr>
        <w:numPr>
          <w:ilvl w:val="1"/>
          <w:numId w:val="1"/>
        </w:numPr>
      </w:pPr>
      <w:r w:rsidRPr="007242BC">
        <w:t>cryptographic hashes of consent forms,</w:t>
      </w:r>
    </w:p>
    <w:p w14:paraId="09524BA5" w14:textId="77777777" w:rsidR="007242BC" w:rsidRPr="007242BC" w:rsidRDefault="007242BC" w:rsidP="007242BC">
      <w:pPr>
        <w:numPr>
          <w:ilvl w:val="1"/>
          <w:numId w:val="1"/>
        </w:numPr>
      </w:pPr>
      <w:r w:rsidRPr="007242BC">
        <w:t>state changes in token lifecycle (requested, pending, active, revoked).</w:t>
      </w:r>
    </w:p>
    <w:p w14:paraId="352CAB38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Data recipients: approved researchers, only for DAC- and donor-approved projects.</w:t>
      </w:r>
    </w:p>
    <w:p w14:paraId="0DB1589E" w14:textId="77777777" w:rsidR="007242BC" w:rsidRPr="007242BC" w:rsidRDefault="007242BC" w:rsidP="007242BC">
      <w:pPr>
        <w:numPr>
          <w:ilvl w:val="0"/>
          <w:numId w:val="1"/>
        </w:numPr>
      </w:pPr>
      <w:r w:rsidRPr="007242BC">
        <w:t>Legal basis: explicit donor consent (initial + project-specific).</w:t>
      </w:r>
    </w:p>
    <w:p w14:paraId="67A14DA2" w14:textId="77777777" w:rsidR="007242BC" w:rsidRPr="007242BC" w:rsidRDefault="00000000" w:rsidP="007242BC">
      <w:r>
        <w:pict w14:anchorId="0B10645E">
          <v:rect id="_x0000_i1027" style="width:0;height:1.5pt" o:hralign="center" o:hrstd="t" o:hr="t" fillcolor="#a0a0a0" stroked="f"/>
        </w:pict>
      </w:r>
    </w:p>
    <w:p w14:paraId="322C2E72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3. Risks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7242BC" w14:paraId="40D59344" w14:textId="77777777" w:rsidTr="007242BC">
        <w:tc>
          <w:tcPr>
            <w:tcW w:w="2490" w:type="dxa"/>
          </w:tcPr>
          <w:p w14:paraId="3EE4C476" w14:textId="4A37BD44" w:rsidR="007242BC" w:rsidRPr="007242BC" w:rsidRDefault="007242BC" w:rsidP="007242BC">
            <w:pPr>
              <w:rPr>
                <w:b/>
                <w:bCs/>
                <w:sz w:val="20"/>
                <w:szCs w:val="20"/>
              </w:rPr>
            </w:pPr>
            <w:r w:rsidRPr="007242BC"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2490" w:type="dxa"/>
          </w:tcPr>
          <w:p w14:paraId="6951B6C9" w14:textId="59BC3E99" w:rsidR="007242BC" w:rsidRPr="007242BC" w:rsidRDefault="007242BC" w:rsidP="007242BC">
            <w:pPr>
              <w:rPr>
                <w:b/>
                <w:bCs/>
                <w:sz w:val="20"/>
                <w:szCs w:val="20"/>
              </w:rPr>
            </w:pPr>
            <w:r w:rsidRPr="007242BC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2491" w:type="dxa"/>
          </w:tcPr>
          <w:p w14:paraId="7EDE27A4" w14:textId="5704462B" w:rsidR="007242BC" w:rsidRPr="007242BC" w:rsidRDefault="007242BC" w:rsidP="007242BC">
            <w:pPr>
              <w:rPr>
                <w:b/>
                <w:bCs/>
                <w:sz w:val="20"/>
                <w:szCs w:val="20"/>
              </w:rPr>
            </w:pPr>
            <w:r w:rsidRPr="007242BC"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2491" w:type="dxa"/>
          </w:tcPr>
          <w:p w14:paraId="2BA3AAA0" w14:textId="475EC35F" w:rsidR="007242BC" w:rsidRPr="007242BC" w:rsidRDefault="007242BC" w:rsidP="007242BC">
            <w:pPr>
              <w:rPr>
                <w:b/>
                <w:bCs/>
                <w:sz w:val="20"/>
                <w:szCs w:val="20"/>
              </w:rPr>
            </w:pPr>
            <w:r w:rsidRPr="007242BC"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7242BC" w14:paraId="33B9C60B" w14:textId="77777777" w:rsidTr="007242BC">
        <w:tc>
          <w:tcPr>
            <w:tcW w:w="24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9"/>
            </w:tblGrid>
            <w:tr w:rsidR="007242BC" w:rsidRPr="007242BC" w14:paraId="0BC44D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850E5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Re-identification of donors</w:t>
                  </w:r>
                </w:p>
              </w:tc>
            </w:tr>
          </w:tbl>
          <w:p w14:paraId="04D9B3E6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0EC164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7255E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7F7B0E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  <w:tc>
          <w:tcPr>
            <w:tcW w:w="2490" w:type="dxa"/>
          </w:tcPr>
          <w:p w14:paraId="21A0C2BF" w14:textId="62E96A20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High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"/>
            </w:tblGrid>
            <w:tr w:rsidR="007242BC" w:rsidRPr="007242BC" w14:paraId="3E57A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A143F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Low</w:t>
                  </w:r>
                </w:p>
              </w:tc>
            </w:tr>
          </w:tbl>
          <w:p w14:paraId="43586138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p w14:paraId="2F5BDA20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242BC" w:rsidRPr="007242BC" w14:paraId="0CCDDE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0313E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Only embeddings shared, stored off-chain; pseudonymization; researcher prohibited from re-identification (DUA).</w:t>
                  </w:r>
                </w:p>
              </w:tc>
            </w:tr>
          </w:tbl>
          <w:p w14:paraId="50CBAFD3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7381C6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5001A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1CBD510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</w:tr>
      <w:tr w:rsidR="007242BC" w14:paraId="33D54072" w14:textId="77777777" w:rsidTr="007242BC">
        <w:tc>
          <w:tcPr>
            <w:tcW w:w="2490" w:type="dxa"/>
          </w:tcPr>
          <w:p w14:paraId="78EF57F4" w14:textId="708E0B16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lastRenderedPageBreak/>
              <w:t>Unauthorized access</w:t>
            </w:r>
          </w:p>
        </w:tc>
        <w:tc>
          <w:tcPr>
            <w:tcW w:w="2490" w:type="dxa"/>
          </w:tcPr>
          <w:p w14:paraId="110E222E" w14:textId="197956F1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High</w:t>
            </w:r>
          </w:p>
        </w:tc>
        <w:tc>
          <w:tcPr>
            <w:tcW w:w="2491" w:type="dxa"/>
          </w:tcPr>
          <w:p w14:paraId="6641FFF9" w14:textId="75BD3D55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242BC" w:rsidRPr="007242BC" w14:paraId="5ADA66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AF1C8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Key Management System (KMS) issues time-limited keys; access logs maintained; tokens unusable without consent.</w:t>
                  </w:r>
                </w:p>
              </w:tc>
            </w:tr>
          </w:tbl>
          <w:p w14:paraId="0796D0FD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7E6C8D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C3867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05D551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</w:tr>
      <w:tr w:rsidR="007242BC" w14:paraId="525A2532" w14:textId="77777777" w:rsidTr="007242BC">
        <w:tc>
          <w:tcPr>
            <w:tcW w:w="2490" w:type="dxa"/>
          </w:tcPr>
          <w:p w14:paraId="17161BD9" w14:textId="2835CC95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Consent fatigue</w:t>
            </w:r>
          </w:p>
        </w:tc>
        <w:tc>
          <w:tcPr>
            <w:tcW w:w="2490" w:type="dxa"/>
          </w:tcPr>
          <w:p w14:paraId="463723C8" w14:textId="5ADED82E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p w14:paraId="4C64823A" w14:textId="1105D536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242BC" w:rsidRPr="007242BC" w14:paraId="476CA1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1EA78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Donor portal allows pre-set preferences (auto-approval/decline categories).</w:t>
                  </w:r>
                </w:p>
              </w:tc>
            </w:tr>
          </w:tbl>
          <w:p w14:paraId="2D762C5F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3D06DD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10F5B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6E4CB5A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</w:tr>
      <w:tr w:rsidR="007242BC" w14:paraId="4A2D2048" w14:textId="77777777" w:rsidTr="007242BC">
        <w:tc>
          <w:tcPr>
            <w:tcW w:w="2490" w:type="dxa"/>
          </w:tcPr>
          <w:p w14:paraId="6751BF69" w14:textId="0FEF6F63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Data misuse by researchers</w:t>
            </w:r>
          </w:p>
        </w:tc>
        <w:tc>
          <w:tcPr>
            <w:tcW w:w="2490" w:type="dxa"/>
          </w:tcPr>
          <w:p w14:paraId="46290D97" w14:textId="6C605F18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High</w:t>
            </w:r>
          </w:p>
        </w:tc>
        <w:tc>
          <w:tcPr>
            <w:tcW w:w="2491" w:type="dxa"/>
          </w:tcPr>
          <w:p w14:paraId="2FFB29A8" w14:textId="6F6CD595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242BC" w:rsidRPr="007242BC" w14:paraId="37C72E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0D2E3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Binding Data Use Agreements (DUA); on-chain audit trail; sanctions (suspension/expulsion).</w:t>
                  </w:r>
                </w:p>
              </w:tc>
            </w:tr>
          </w:tbl>
          <w:p w14:paraId="6F3C802D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5F7FC4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E37CE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179D6AA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</w:tr>
      <w:tr w:rsidR="007242BC" w14:paraId="5F4AD54F" w14:textId="77777777" w:rsidTr="007242BC">
        <w:tc>
          <w:tcPr>
            <w:tcW w:w="2490" w:type="dxa"/>
          </w:tcPr>
          <w:p w14:paraId="403C52E8" w14:textId="4B674FCB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Blockchain immutability vs. withdrawal rights</w:t>
            </w:r>
          </w:p>
        </w:tc>
        <w:tc>
          <w:tcPr>
            <w:tcW w:w="2490" w:type="dxa"/>
          </w:tcPr>
          <w:p w14:paraId="65456592" w14:textId="5B0B7107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p w14:paraId="32568355" w14:textId="5911E2F0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242BC" w:rsidRPr="007242BC" w14:paraId="42BE8D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2FC1B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Tokens represent rights, not data; revocation possible by key rotation; blockchain records revocation events transparently.</w:t>
                  </w:r>
                </w:p>
              </w:tc>
            </w:tr>
          </w:tbl>
          <w:p w14:paraId="233F6F42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2180BE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BF7DD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BF91FEF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</w:tr>
      <w:tr w:rsidR="007242BC" w14:paraId="72795B26" w14:textId="77777777" w:rsidTr="007242BC">
        <w:tc>
          <w:tcPr>
            <w:tcW w:w="24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4"/>
            </w:tblGrid>
            <w:tr w:rsidR="007242BC" w:rsidRPr="007242BC" w14:paraId="592E35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C6227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Cross-border transfers</w:t>
                  </w:r>
                </w:p>
              </w:tc>
            </w:tr>
          </w:tbl>
          <w:p w14:paraId="5CC2A174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1915AA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8C977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6553361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  <w:tc>
          <w:tcPr>
            <w:tcW w:w="2490" w:type="dxa"/>
          </w:tcPr>
          <w:p w14:paraId="6DA0FADC" w14:textId="764C1595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Medium</w:t>
            </w:r>
          </w:p>
        </w:tc>
        <w:tc>
          <w:tcPr>
            <w:tcW w:w="24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"/>
            </w:tblGrid>
            <w:tr w:rsidR="007242BC" w:rsidRPr="007242BC" w14:paraId="44DC45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575FE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242BC">
                    <w:rPr>
                      <w:sz w:val="20"/>
                      <w:szCs w:val="20"/>
                    </w:rPr>
                    <w:t>Low</w:t>
                  </w:r>
                </w:p>
              </w:tc>
            </w:tr>
          </w:tbl>
          <w:p w14:paraId="5151CAE7" w14:textId="77777777" w:rsidR="007242BC" w:rsidRPr="007242BC" w:rsidRDefault="007242BC" w:rsidP="007242BC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2BC" w:rsidRPr="007242BC" w14:paraId="7BA1D4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1EF30" w14:textId="77777777" w:rsidR="007242BC" w:rsidRPr="007242BC" w:rsidRDefault="007242BC" w:rsidP="007242B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3C4B5F8" w14:textId="77777777" w:rsidR="007242BC" w:rsidRPr="007242BC" w:rsidRDefault="007242BC" w:rsidP="007242BC">
            <w:pPr>
              <w:rPr>
                <w:sz w:val="20"/>
                <w:szCs w:val="20"/>
              </w:rPr>
            </w:pPr>
          </w:p>
        </w:tc>
        <w:tc>
          <w:tcPr>
            <w:tcW w:w="2491" w:type="dxa"/>
          </w:tcPr>
          <w:p w14:paraId="3C85C23C" w14:textId="44575615" w:rsidR="007242BC" w:rsidRPr="007242BC" w:rsidRDefault="007242BC" w:rsidP="007242BC">
            <w:pPr>
              <w:rPr>
                <w:sz w:val="20"/>
                <w:szCs w:val="20"/>
              </w:rPr>
            </w:pPr>
            <w:r w:rsidRPr="007242BC">
              <w:rPr>
                <w:sz w:val="20"/>
                <w:szCs w:val="20"/>
              </w:rPr>
              <w:t>No raw data leaves secure servers; only encrypted embeddings used; all transfers subject to GDPR/HIPAA compliance.</w:t>
            </w:r>
          </w:p>
        </w:tc>
      </w:tr>
    </w:tbl>
    <w:p w14:paraId="1116BF56" w14:textId="77777777" w:rsidR="007242BC" w:rsidRPr="007242BC" w:rsidRDefault="00000000" w:rsidP="007242BC">
      <w:r>
        <w:pict w14:anchorId="0EE71C0E">
          <v:rect id="_x0000_i1028" style="width:0;height:1.5pt" o:hralign="center" o:hrstd="t" o:hr="t" fillcolor="#a0a0a0" stroked="f"/>
        </w:pict>
      </w:r>
    </w:p>
    <w:p w14:paraId="30B6F78C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4. Safeguards and Controls</w:t>
      </w:r>
    </w:p>
    <w:p w14:paraId="76437D43" w14:textId="77777777" w:rsidR="007242BC" w:rsidRPr="007242BC" w:rsidRDefault="007242BC" w:rsidP="007242BC">
      <w:pPr>
        <w:numPr>
          <w:ilvl w:val="0"/>
          <w:numId w:val="2"/>
        </w:numPr>
      </w:pPr>
      <w:r w:rsidRPr="007242BC">
        <w:t>Consent Management:</w:t>
      </w:r>
    </w:p>
    <w:p w14:paraId="16297784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Initial consent form signed at sample collection.</w:t>
      </w:r>
    </w:p>
    <w:p w14:paraId="4FDAC650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Project-specific consent form signed electronically per project.</w:t>
      </w:r>
    </w:p>
    <w:p w14:paraId="16F6D038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Hashes of signed documents stored on-chain to ensure proof without exposing identity.</w:t>
      </w:r>
    </w:p>
    <w:p w14:paraId="159EB011" w14:textId="77777777" w:rsidR="007242BC" w:rsidRPr="007242BC" w:rsidRDefault="007242BC" w:rsidP="007242BC">
      <w:pPr>
        <w:numPr>
          <w:ilvl w:val="0"/>
          <w:numId w:val="2"/>
        </w:numPr>
      </w:pPr>
      <w:r w:rsidRPr="007242BC">
        <w:t>Key Management System (KMS):</w:t>
      </w:r>
    </w:p>
    <w:p w14:paraId="03D526BD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Issues project/time-limited decryption keys only when consent + DAC approval confirmed.</w:t>
      </w:r>
    </w:p>
    <w:p w14:paraId="233BDABB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Rotates keys immediately upon withdrawal or revocation.</w:t>
      </w:r>
    </w:p>
    <w:p w14:paraId="4A430901" w14:textId="77777777" w:rsidR="007242BC" w:rsidRPr="007242BC" w:rsidRDefault="007242BC" w:rsidP="007242BC">
      <w:pPr>
        <w:numPr>
          <w:ilvl w:val="0"/>
          <w:numId w:val="2"/>
        </w:numPr>
      </w:pPr>
      <w:r w:rsidRPr="007242BC">
        <w:t>Blockchain Layer (Polygon L2):</w:t>
      </w:r>
    </w:p>
    <w:p w14:paraId="08BD59BD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Tokens are symbolic access rights, not data containers.</w:t>
      </w:r>
    </w:p>
    <w:p w14:paraId="63284A20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Only state changes + consent hashes are logged.</w:t>
      </w:r>
    </w:p>
    <w:p w14:paraId="1BB09CBF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Provides immutable auditability for regulators and donors.</w:t>
      </w:r>
    </w:p>
    <w:p w14:paraId="617A0D2C" w14:textId="77777777" w:rsidR="007242BC" w:rsidRPr="007242BC" w:rsidRDefault="007242BC" w:rsidP="007242BC">
      <w:pPr>
        <w:numPr>
          <w:ilvl w:val="0"/>
          <w:numId w:val="2"/>
        </w:numPr>
      </w:pPr>
      <w:r w:rsidRPr="007242BC">
        <w:lastRenderedPageBreak/>
        <w:t>Off-chain Infrastructure:</w:t>
      </w:r>
    </w:p>
    <w:p w14:paraId="22583D42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Secure servers in laboratories retain raw genomic data.</w:t>
      </w:r>
    </w:p>
    <w:p w14:paraId="2E32D283" w14:textId="77777777" w:rsidR="007242BC" w:rsidRPr="007242BC" w:rsidRDefault="007242BC" w:rsidP="007242BC">
      <w:pPr>
        <w:numPr>
          <w:ilvl w:val="1"/>
          <w:numId w:val="2"/>
        </w:numPr>
      </w:pPr>
      <w:proofErr w:type="spellStart"/>
      <w:r w:rsidRPr="007242BC">
        <w:t>Relayer</w:t>
      </w:r>
      <w:proofErr w:type="spellEnd"/>
      <w:r w:rsidRPr="007242BC">
        <w:t xml:space="preserve"> system coordinates consent notifications and token activation.</w:t>
      </w:r>
    </w:p>
    <w:p w14:paraId="6EC2B4A4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Audit DB stores detailed logs of consents, DAC approvals, key usage.</w:t>
      </w:r>
    </w:p>
    <w:p w14:paraId="3E98FB9A" w14:textId="77777777" w:rsidR="007242BC" w:rsidRPr="007242BC" w:rsidRDefault="007242BC" w:rsidP="007242BC">
      <w:pPr>
        <w:numPr>
          <w:ilvl w:val="0"/>
          <w:numId w:val="2"/>
        </w:numPr>
      </w:pPr>
      <w:r w:rsidRPr="007242BC">
        <w:t>Governance Controls:</w:t>
      </w:r>
    </w:p>
    <w:p w14:paraId="0DF91EE3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Data Access Committee (DAC) reviews each project.</w:t>
      </w:r>
    </w:p>
    <w:p w14:paraId="29229912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Ethics Committee ensures compliance with legal/ethical frameworks.</w:t>
      </w:r>
    </w:p>
    <w:p w14:paraId="2F5720A1" w14:textId="77777777" w:rsidR="007242BC" w:rsidRPr="007242BC" w:rsidRDefault="007242BC" w:rsidP="007242BC">
      <w:pPr>
        <w:numPr>
          <w:ilvl w:val="1"/>
          <w:numId w:val="2"/>
        </w:numPr>
      </w:pPr>
      <w:r w:rsidRPr="007242BC">
        <w:t>Consortium Charter and Membership Agreements enforce rules.</w:t>
      </w:r>
    </w:p>
    <w:p w14:paraId="3C8B9934" w14:textId="77777777" w:rsidR="007242BC" w:rsidRPr="007242BC" w:rsidRDefault="00000000" w:rsidP="007242BC">
      <w:r>
        <w:pict w14:anchorId="532BF783">
          <v:rect id="_x0000_i1029" style="width:0;height:1.5pt" o:hralign="center" o:hrstd="t" o:hr="t" fillcolor="#a0a0a0" stroked="f"/>
        </w:pict>
      </w:r>
    </w:p>
    <w:p w14:paraId="52813C20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5. Data Subject Rights</w:t>
      </w:r>
    </w:p>
    <w:p w14:paraId="42EC8878" w14:textId="77777777" w:rsidR="007242BC" w:rsidRPr="007242BC" w:rsidRDefault="007242BC" w:rsidP="007242BC">
      <w:pPr>
        <w:numPr>
          <w:ilvl w:val="0"/>
          <w:numId w:val="3"/>
        </w:numPr>
      </w:pPr>
      <w:r w:rsidRPr="007242BC">
        <w:t>Access: donors can view when and how their data was used via a portal.</w:t>
      </w:r>
    </w:p>
    <w:p w14:paraId="073C2C34" w14:textId="77777777" w:rsidR="007242BC" w:rsidRPr="007242BC" w:rsidRDefault="007242BC" w:rsidP="007242BC">
      <w:pPr>
        <w:numPr>
          <w:ilvl w:val="0"/>
          <w:numId w:val="3"/>
        </w:numPr>
      </w:pPr>
      <w:r w:rsidRPr="007242BC">
        <w:t>Withdrawal: donors can revoke consent anytime; tokens marked revoked; keys rotated.</w:t>
      </w:r>
    </w:p>
    <w:p w14:paraId="2A787ABE" w14:textId="77777777" w:rsidR="007242BC" w:rsidRPr="007242BC" w:rsidRDefault="007242BC" w:rsidP="007242BC">
      <w:pPr>
        <w:numPr>
          <w:ilvl w:val="0"/>
          <w:numId w:val="3"/>
        </w:numPr>
      </w:pPr>
      <w:r w:rsidRPr="007242BC">
        <w:t>Transparency: immutable blockchain logs + donor portal reporting.</w:t>
      </w:r>
    </w:p>
    <w:p w14:paraId="6B09992C" w14:textId="77777777" w:rsidR="007242BC" w:rsidRPr="007242BC" w:rsidRDefault="00000000" w:rsidP="007242BC">
      <w:r>
        <w:pict w14:anchorId="58C33FCB">
          <v:rect id="_x0000_i1030" style="width:0;height:1.5pt" o:hralign="center" o:hrstd="t" o:hr="t" fillcolor="#a0a0a0" stroked="f"/>
        </w:pict>
      </w:r>
    </w:p>
    <w:p w14:paraId="6A461821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6. Residual Risk Assessment</w:t>
      </w:r>
    </w:p>
    <w:p w14:paraId="1E18A09A" w14:textId="77777777" w:rsidR="007242BC" w:rsidRPr="007242BC" w:rsidRDefault="007242BC" w:rsidP="007242BC">
      <w:r w:rsidRPr="007242BC">
        <w:t>After implementation of safeguards, residual risk is assessed as Low-to-Medium, acceptable given:</w:t>
      </w:r>
    </w:p>
    <w:p w14:paraId="31D5FC07" w14:textId="77777777" w:rsidR="007242BC" w:rsidRPr="007242BC" w:rsidRDefault="007242BC" w:rsidP="007242BC">
      <w:pPr>
        <w:numPr>
          <w:ilvl w:val="0"/>
          <w:numId w:val="4"/>
        </w:numPr>
      </w:pPr>
      <w:r w:rsidRPr="007242BC">
        <w:t>explicit informed consent,</w:t>
      </w:r>
    </w:p>
    <w:p w14:paraId="79326857" w14:textId="77777777" w:rsidR="007242BC" w:rsidRPr="007242BC" w:rsidRDefault="007242BC" w:rsidP="007242BC">
      <w:pPr>
        <w:numPr>
          <w:ilvl w:val="0"/>
          <w:numId w:val="4"/>
        </w:numPr>
      </w:pPr>
      <w:r w:rsidRPr="007242BC">
        <w:t>robust governance,</w:t>
      </w:r>
    </w:p>
    <w:p w14:paraId="1DD9BC9B" w14:textId="77777777" w:rsidR="007242BC" w:rsidRPr="007242BC" w:rsidRDefault="007242BC" w:rsidP="007242BC">
      <w:pPr>
        <w:numPr>
          <w:ilvl w:val="0"/>
          <w:numId w:val="4"/>
        </w:numPr>
      </w:pPr>
      <w:r w:rsidRPr="007242BC">
        <w:t>strong encryption and off-chain storage,</w:t>
      </w:r>
    </w:p>
    <w:p w14:paraId="45254878" w14:textId="77777777" w:rsidR="007242BC" w:rsidRPr="007242BC" w:rsidRDefault="007242BC" w:rsidP="007242BC">
      <w:pPr>
        <w:numPr>
          <w:ilvl w:val="0"/>
          <w:numId w:val="4"/>
        </w:numPr>
      </w:pPr>
      <w:r w:rsidRPr="007242BC">
        <w:t>enforceable sanctions for misuse.</w:t>
      </w:r>
    </w:p>
    <w:p w14:paraId="425A0C58" w14:textId="77777777" w:rsidR="007242BC" w:rsidRPr="007242BC" w:rsidRDefault="00000000" w:rsidP="007242BC">
      <w:r>
        <w:pict w14:anchorId="55733B77">
          <v:rect id="_x0000_i1031" style="width:0;height:1.5pt" o:hralign="center" o:hrstd="t" o:hr="t" fillcolor="#a0a0a0" stroked="f"/>
        </w:pict>
      </w:r>
    </w:p>
    <w:p w14:paraId="13986343" w14:textId="77777777" w:rsidR="007242BC" w:rsidRPr="007242BC" w:rsidRDefault="007242BC" w:rsidP="007242BC">
      <w:pPr>
        <w:rPr>
          <w:b/>
          <w:bCs/>
        </w:rPr>
      </w:pPr>
      <w:r w:rsidRPr="007242BC">
        <w:rPr>
          <w:b/>
          <w:bCs/>
        </w:rPr>
        <w:t>7. Conclusion</w:t>
      </w:r>
    </w:p>
    <w:p w14:paraId="518FA1F5" w14:textId="08BA0AB8" w:rsidR="007242BC" w:rsidRPr="007242BC" w:rsidRDefault="007242BC" w:rsidP="007242BC">
      <w:r w:rsidRPr="007242BC">
        <w:t>This DPIA demonstrates that the project complies with GDPR principles of lawfulness, fairness, transparency, purpose limitation, data minimization, integrity, and confidentiality. The hybrid blockchain + off-chain model ensures donors retain control through project-specific consent and withdrawal rights, while providing researchers with a transparent and auditable access mechanism.</w:t>
      </w:r>
    </w:p>
    <w:p w14:paraId="7AC8F9C0" w14:textId="77777777" w:rsidR="007242BC" w:rsidRPr="007242BC" w:rsidRDefault="007242BC">
      <w:pPr>
        <w:rPr>
          <w:b/>
          <w:bCs/>
          <w:sz w:val="36"/>
          <w:szCs w:val="36"/>
        </w:rPr>
      </w:pPr>
    </w:p>
    <w:sectPr w:rsidR="007242BC" w:rsidRPr="007242BC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7CF"/>
    <w:multiLevelType w:val="multilevel"/>
    <w:tmpl w:val="162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2153A"/>
    <w:multiLevelType w:val="multilevel"/>
    <w:tmpl w:val="2F6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4754B"/>
    <w:multiLevelType w:val="multilevel"/>
    <w:tmpl w:val="20F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2266E"/>
    <w:multiLevelType w:val="multilevel"/>
    <w:tmpl w:val="EA5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A0E7F"/>
    <w:multiLevelType w:val="multilevel"/>
    <w:tmpl w:val="820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5424">
    <w:abstractNumId w:val="3"/>
  </w:num>
  <w:num w:numId="2" w16cid:durableId="1565337187">
    <w:abstractNumId w:val="0"/>
  </w:num>
  <w:num w:numId="3" w16cid:durableId="1086222684">
    <w:abstractNumId w:val="4"/>
  </w:num>
  <w:num w:numId="4" w16cid:durableId="687677699">
    <w:abstractNumId w:val="1"/>
  </w:num>
  <w:num w:numId="5" w16cid:durableId="1763139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BC"/>
    <w:rsid w:val="007242BC"/>
    <w:rsid w:val="00854430"/>
    <w:rsid w:val="00D0460F"/>
    <w:rsid w:val="00F8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5A3E"/>
  <w15:chartTrackingRefBased/>
  <w15:docId w15:val="{8F31AEDE-4DA5-461C-A88B-32EF74E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2</cp:revision>
  <dcterms:created xsi:type="dcterms:W3CDTF">2025-10-02T12:55:00Z</dcterms:created>
  <dcterms:modified xsi:type="dcterms:W3CDTF">2025-10-06T14:54:00Z</dcterms:modified>
</cp:coreProperties>
</file>