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PROGRAMA DE ASIGNATURA</w:t>
      </w:r>
    </w:p>
    <w:p>
      <w:pPr>
        <w:pStyle w:val="LOnormal"/>
        <w:widowControl w:val="false"/>
        <w:spacing w:lineRule="auto" w:line="24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“</w:t>
      </w:r>
      <w:r>
        <w:rPr>
          <w:b/>
          <w:sz w:val="20"/>
          <w:szCs w:val="20"/>
        </w:rPr>
        <w:t>INFO 335 - Computación de alto rendimiento”</w:t>
      </w:r>
    </w:p>
    <w:p>
      <w:pPr>
        <w:pStyle w:val="LOnormal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INFORMACIÓN GENERAL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1.1 Nombre de la asignatura</w:t>
        <w:tab/>
        <w:tab/>
        <w:t>: Computación de alto rendimiento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1.2 Código</w:t>
        <w:tab/>
        <w:tab/>
        <w:tab/>
        <w:tab/>
        <w:t xml:space="preserve">: </w:t>
      </w:r>
      <w:r>
        <w:rPr>
          <w:i w:val="false"/>
          <w:iCs w:val="false"/>
          <w:sz w:val="20"/>
          <w:szCs w:val="20"/>
        </w:rPr>
        <w:t>INFO335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1.3 Créditos</w:t>
        <w:tab/>
        <w:tab/>
        <w:tab/>
        <w:tab/>
        <w:t>: 4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1.4 Periódo académico</w:t>
        <w:tab/>
        <w:tab/>
        <w:tab/>
        <w:t>: I semestre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1.5 Tipo de asignatura</w:t>
        <w:tab/>
        <w:tab/>
        <w:tab/>
        <w:t>: obligatoria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1.6 Horas Teóricas</w:t>
        <w:tab/>
        <w:tab/>
        <w:tab/>
        <w:t xml:space="preserve">: </w:t>
      </w:r>
      <w:r>
        <w:rPr>
          <w:i/>
          <w:sz w:val="20"/>
          <w:szCs w:val="20"/>
        </w:rPr>
        <w:t>2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1.7 Horas Prácticas</w:t>
        <w:tab/>
        <w:tab/>
        <w:tab/>
        <w:t>:</w:t>
      </w:r>
      <w:r>
        <w:rPr>
          <w:color w:val="FF0000"/>
          <w:sz w:val="20"/>
          <w:szCs w:val="20"/>
        </w:rPr>
        <w:t xml:space="preserve"> </w:t>
      </w:r>
      <w:r>
        <w:rPr>
          <w:i/>
          <w:sz w:val="20"/>
          <w:szCs w:val="20"/>
        </w:rPr>
        <w:t>2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1.8 Horas no presenciales</w:t>
        <w:tab/>
        <w:tab/>
        <w:t xml:space="preserve">: </w:t>
      </w:r>
      <w:r>
        <w:rPr>
          <w:i/>
          <w:sz w:val="20"/>
          <w:szCs w:val="20"/>
        </w:rPr>
        <w:t>6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1.9 Cupo</w:t>
        <w:tab/>
        <w:tab/>
        <w:tab/>
        <w:tab/>
        <w:t>: 10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1.10: Prerrequisitos</w:t>
        <w:tab/>
        <w:tab/>
        <w:tab/>
        <w:t>: -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sz w:val="20"/>
          <w:szCs w:val="20"/>
        </w:rPr>
        <w:t>1.11 Prof. Responsable</w:t>
        <w:tab/>
        <w:tab/>
        <w:tab/>
        <w:t>: Dr. Navarro</w:t>
      </w:r>
    </w:p>
    <w:p>
      <w:pPr>
        <w:pStyle w:val="LOnormal"/>
        <w:widowControl w:val="false"/>
        <w:spacing w:lineRule="auto" w:line="240"/>
        <w:ind w:firstLine="720"/>
        <w:rPr>
          <w:b/>
          <w:b/>
          <w:sz w:val="20"/>
          <w:szCs w:val="20"/>
        </w:rPr>
      </w:pPr>
      <w:r>
        <w:rPr>
          <w:sz w:val="20"/>
          <w:szCs w:val="20"/>
        </w:rPr>
        <w:t>1.12 Prof. (es) Colaborador(es)</w:t>
        <w:tab/>
        <w:tab/>
        <w:t>: Dr. Ferrada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DESCRIPCIÓN DE LA ASIGNATURA</w:t>
      </w:r>
    </w:p>
    <w:p>
      <w:pPr>
        <w:pStyle w:val="LOnormal"/>
        <w:widowControl w:val="false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>Este curso se estudia el conocimiento teórico y el manejo práctico de la computación de alto rendimiento para procesar información utilizando arquitecturas paralelas de computadores. La parte teórica se enfoca en los modelos de computación paralela y la forma de analizar la complejidad de ciertos algoritmos paralelos que son los bloques fundamentales para la construcciones de soluciones más elaboradas. La parte práctica se enfoca en conocer y usar herramientas de programación paralela para implementar las técnicas en CPUs multicore,  Clusters y GPUs.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Objetivo general: </w:t>
      </w:r>
      <w:r>
        <w:rPr>
          <w:sz w:val="20"/>
          <w:szCs w:val="20"/>
        </w:rPr>
        <w:t xml:space="preserve">Sintetizar bases teóricas y metodológicas de la computación de alto rendimiento para resolver problemas computacionales de forma eficiente. 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Objetivos específicos: </w:t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rPr/>
      </w:pPr>
      <w:r>
        <w:rPr>
          <w:sz w:val="20"/>
          <w:szCs w:val="20"/>
        </w:rPr>
        <w:t>Analizar y diseñar algoritmos utilizando el marco teórico de computación paralela.</w:t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rPr/>
      </w:pPr>
      <w:r>
        <w:rPr>
          <w:sz w:val="20"/>
          <w:szCs w:val="20"/>
        </w:rPr>
        <w:t>Aprender y utilizar las principales herramientas de programación en paralelo.</w:t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rPr/>
      </w:pPr>
      <w:r>
        <w:rPr>
          <w:sz w:val="20"/>
          <w:szCs w:val="20"/>
        </w:rPr>
        <w:t>Resolver problemas de concurrencia en memoria compartida y distribuida.</w:t>
      </w:r>
    </w:p>
    <w:p>
      <w:pPr>
        <w:pStyle w:val="LOnormal"/>
        <w:widowControl w:val="false"/>
        <w:numPr>
          <w:ilvl w:val="0"/>
          <w:numId w:val="5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Extraer las principales medidas de rendimiento de una implementación en paralelo.</w:t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CONTENIDOS</w:t>
      </w:r>
    </w:p>
    <w:p>
      <w:pPr>
        <w:pStyle w:val="LOnormal"/>
        <w:widowControl w:val="false"/>
        <w:spacing w:lineRule="auto" w:line="240"/>
        <w:ind w:firstLine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Unidad 1: ¿ Qué es la computación de alto rendimiento ?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Evolución histórica de su necesidad y de la arquitectura Von Neumann.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Concurrencia y Paralelismo, tipos de paralelismo, taxonomía de Flynn.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Arquitecturas de CPU, GPU, FPGA, TPU, Cluster, Grid y Cloud.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Impacto de la computación de alto rendimiento en otras disciplinas.</w:t>
      </w:r>
    </w:p>
    <w:p>
      <w:pPr>
        <w:pStyle w:val="LOnormal"/>
        <w:widowControl w:val="false"/>
        <w:spacing w:lineRule="auto" w:line="240"/>
        <w:ind w:firstLine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Unidad 2: Medidas de Rendimiento, modelos de cómputo y de programación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Trabajo (</w:t>
      </w:r>
      <w:r>
        <w:rPr>
          <w:i/>
          <w:sz w:val="20"/>
          <w:szCs w:val="20"/>
        </w:rPr>
        <w:t xml:space="preserve">work) </w:t>
      </w:r>
      <w:r>
        <w:rPr>
          <w:sz w:val="20"/>
          <w:szCs w:val="20"/>
        </w:rPr>
        <w:t>y alcance (</w:t>
      </w:r>
      <w:r>
        <w:rPr>
          <w:i/>
          <w:sz w:val="20"/>
          <w:szCs w:val="20"/>
        </w:rPr>
        <w:t>span</w:t>
      </w:r>
      <w:r>
        <w:rPr>
          <w:sz w:val="20"/>
          <w:szCs w:val="20"/>
        </w:rPr>
        <w:t>) en el tiempo, speedup, eficiencia.</w:t>
      </w:r>
    </w:p>
    <w:p>
      <w:pPr>
        <w:pStyle w:val="LOnormal"/>
        <w:widowControl w:val="false"/>
        <w:spacing w:lineRule="auto" w:line="240"/>
        <w:ind w:left="720" w:firstLine="720"/>
        <w:rPr>
          <w:i/>
          <w:i/>
          <w:sz w:val="20"/>
          <w:szCs w:val="20"/>
        </w:rPr>
      </w:pPr>
      <w:r>
        <w:rPr>
          <w:sz w:val="20"/>
          <w:szCs w:val="20"/>
        </w:rPr>
        <w:t>Escalabilidad fuerte y débil (</w:t>
      </w:r>
      <w:r>
        <w:rPr>
          <w:i/>
          <w:sz w:val="20"/>
          <w:szCs w:val="20"/>
        </w:rPr>
        <w:t>Strong Scaling, Weak Scaling).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Modelos de cómputo y de programación en memoria compartida y distribuida.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Herramientas de programación para CPU y GPU.</w:t>
      </w:r>
    </w:p>
    <w:p>
      <w:pPr>
        <w:pStyle w:val="LOnormal"/>
        <w:widowControl w:val="false"/>
        <w:spacing w:lineRule="auto" w:line="240"/>
        <w:ind w:firstLine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Unidad 3: Estrategias para diseñar algoritmos en CPUs y GPUs.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Técnicas de paralelización para CPU y GPU y errores frecuentes.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Técnicas de </w:t>
      </w:r>
      <w:r>
        <w:rPr>
          <w:rFonts w:eastAsia="Arial" w:cs="Arial"/>
          <w:color w:val="auto"/>
          <w:kern w:val="0"/>
          <w:sz w:val="20"/>
          <w:szCs w:val="20"/>
          <w:lang w:val="en" w:eastAsia="zh-CN" w:bidi="hi-IN"/>
        </w:rPr>
        <w:t>optimizacion</w:t>
      </w:r>
      <w:r>
        <w:rPr>
          <w:sz w:val="20"/>
          <w:szCs w:val="20"/>
        </w:rPr>
        <w:t xml:space="preserve"> de </w:t>
      </w:r>
      <w:r>
        <w:rPr>
          <w:rFonts w:eastAsia="Arial" w:cs="Arial"/>
          <w:color w:val="auto"/>
          <w:kern w:val="0"/>
          <w:sz w:val="20"/>
          <w:szCs w:val="20"/>
          <w:lang w:val="en" w:eastAsia="zh-CN" w:bidi="hi-IN"/>
        </w:rPr>
        <w:t xml:space="preserve">codigo fuente y 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en" w:eastAsia="zh-CN" w:bidi="hi-IN"/>
        </w:rPr>
        <w:t>lookup tables.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rFonts w:eastAsia="Arial" w:cs="Arial"/>
          <w:i/>
          <w:iCs/>
          <w:color w:val="auto"/>
          <w:kern w:val="0"/>
          <w:sz w:val="20"/>
          <w:szCs w:val="20"/>
          <w:lang w:val="en" w:eastAsia="zh-CN" w:bidi="hi-IN"/>
        </w:rPr>
        <w:t>Markov Chain Monte Carlo (</w:t>
      </w:r>
      <w:r>
        <w:rPr>
          <w:rFonts w:eastAsia="Arial" w:cs="Arial"/>
          <w:i w:val="false"/>
          <w:iCs w:val="false"/>
          <w:color w:val="auto"/>
          <w:kern w:val="0"/>
          <w:sz w:val="20"/>
          <w:szCs w:val="20"/>
          <w:lang w:val="en" w:eastAsia="zh-CN" w:bidi="hi-IN"/>
        </w:rPr>
        <w:t>MCMC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en" w:eastAsia="zh-CN" w:bidi="hi-IN"/>
        </w:rPr>
        <w:t>).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i/>
          <w:iCs/>
          <w:sz w:val="20"/>
          <w:szCs w:val="20"/>
        </w:rPr>
        <w:t>Fast Fourier Transform (</w:t>
      </w:r>
      <w:r>
        <w:rPr>
          <w:i w:val="false"/>
          <w:iCs w:val="false"/>
          <w:sz w:val="20"/>
          <w:szCs w:val="20"/>
        </w:rPr>
        <w:t>FFT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.</w:t>
      </w:r>
    </w:p>
    <w:p>
      <w:pPr>
        <w:pStyle w:val="LOnormal"/>
        <w:widowControl w:val="false"/>
        <w:spacing w:lineRule="auto" w:line="240"/>
        <w:ind w:firstLine="72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Unidad 4: Computación a Gran Escala</w:t>
      </w:r>
    </w:p>
    <w:p>
      <w:pPr>
        <w:pStyle w:val="LOnormal"/>
        <w:widowControl w:val="false"/>
        <w:spacing w:lineRule="auto" w:line="240"/>
        <w:ind w:left="720" w:firstLine="720"/>
        <w:rPr>
          <w:b/>
          <w:b/>
          <w:sz w:val="20"/>
          <w:szCs w:val="20"/>
        </w:rPr>
      </w:pPr>
      <w:r>
        <w:rPr>
          <w:sz w:val="20"/>
          <w:szCs w:val="20"/>
        </w:rPr>
        <w:t>Escalabilidad vertical y horizontal.</w:t>
      </w:r>
    </w:p>
    <w:p>
      <w:pPr>
        <w:pStyle w:val="LOnormal"/>
        <w:widowControl w:val="false"/>
        <w:spacing w:lineRule="auto" w:line="240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>P</w:t>
      </w:r>
      <w:r>
        <w:rPr>
          <w:sz w:val="20"/>
          <w:szCs w:val="20"/>
        </w:rPr>
        <w:t>rogramación en memoria distribuida.</w:t>
      </w:r>
    </w:p>
    <w:p>
      <w:pPr>
        <w:pStyle w:val="LOnormal"/>
        <w:widowControl w:val="false"/>
        <w:spacing w:lineRule="auto" w:line="240"/>
        <w:ind w:left="720" w:firstLine="720"/>
        <w:rPr>
          <w:sz w:val="20"/>
          <w:szCs w:val="20"/>
        </w:rPr>
      </w:pPr>
      <w:r>
        <w:rPr>
          <w:sz w:val="20"/>
          <w:szCs w:val="20"/>
        </w:rPr>
        <w:t>Supercomputador Patagón:</w:t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Programación multi-GPU.</w:t>
      </w:r>
    </w:p>
    <w:p>
      <w:pPr>
        <w:pStyle w:val="LOnormal"/>
        <w:widowControl w:val="false"/>
        <w:numPr>
          <w:ilvl w:val="0"/>
          <w:numId w:val="4"/>
        </w:numPr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Programación multi-core (CPU).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METODOLOGÍA DEL TRABAJO</w:t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widowControl w:val="false"/>
        <w:spacing w:lineRule="auto" w:line="2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El curso se compone de: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Clases expositivas-activas por parte de los profesores.</w:t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Presentaciones (por parte de los estudiantes) de síntesis de tópicos de investigación basado en uno o más artículos.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El estudiante, en paralelo, deberá explorar el estado del arte y seleccionar un problema de investigación dentro del estado del arte de la computación paralela y distribuida (idealmente vinculado a su futuro proyecto de tesis). Como resultado, deberá elaborar un reporte técnico donde analiza el problema seleccionado, propone una solución y la implementa. Dicha actividad constituirá el 50% de la nota final.</w:t>
      </w:r>
    </w:p>
    <w:p>
      <w:pPr>
        <w:pStyle w:val="LOnormal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EVALUACIÓN</w:t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720" w:hanging="0"/>
        <w:rPr/>
      </w:pPr>
      <w:r>
        <w:rPr>
          <w:sz w:val="20"/>
          <w:szCs w:val="20"/>
        </w:rPr>
        <w:t>La nota final se determinará de la siguiente manera:</w:t>
        <w:br/>
        <w:tab/>
        <w:t>Lecturas, tareas y presentaciones.</w:t>
        <w:tab/>
        <w:tab/>
        <w:t>: 50 %</w:t>
      </w:r>
    </w:p>
    <w:p>
      <w:pPr>
        <w:pStyle w:val="LOnormal"/>
        <w:widowControl w:val="false"/>
        <w:numPr>
          <w:ilvl w:val="0"/>
          <w:numId w:val="0"/>
        </w:numPr>
        <w:spacing w:lineRule="auto" w:line="240"/>
        <w:ind w:left="1440" w:hanging="0"/>
        <w:rPr>
          <w:sz w:val="20"/>
          <w:szCs w:val="20"/>
        </w:rPr>
      </w:pPr>
      <w:r>
        <w:rPr>
          <w:sz w:val="20"/>
          <w:szCs w:val="20"/>
        </w:rPr>
        <w:t>Reporte Técnico y defensa.</w:t>
        <w:tab/>
        <w:tab/>
        <w:tab/>
        <w:t>: 50 %</w:t>
      </w:r>
    </w:p>
    <w:p>
      <w:pPr>
        <w:pStyle w:val="LOnormal"/>
        <w:widowControl w:val="false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/>
        <w:ind w:left="36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BIBLIOGRAFIA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Jaja J., </w:t>
      </w:r>
      <w:r>
        <w:rPr>
          <w:i/>
          <w:sz w:val="20"/>
          <w:szCs w:val="20"/>
        </w:rPr>
        <w:t>An Introduction to Parallel Algorithms</w:t>
      </w:r>
      <w:r>
        <w:rPr>
          <w:sz w:val="20"/>
          <w:szCs w:val="20"/>
        </w:rPr>
        <w:t>, 1992.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Kumar et al., </w:t>
      </w:r>
      <w:r>
        <w:rPr>
          <w:i/>
          <w:sz w:val="20"/>
          <w:szCs w:val="20"/>
        </w:rPr>
        <w:t>Introduction to Parallel Computing</w:t>
      </w:r>
      <w:r>
        <w:rPr>
          <w:sz w:val="20"/>
          <w:szCs w:val="20"/>
        </w:rPr>
        <w:t>, 1994.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Cormen et al., </w:t>
      </w:r>
      <w:r>
        <w:rPr>
          <w:i/>
          <w:sz w:val="20"/>
          <w:szCs w:val="20"/>
        </w:rPr>
        <w:t>Introduction to Algorithms</w:t>
      </w:r>
      <w:r>
        <w:rPr>
          <w:sz w:val="20"/>
          <w:szCs w:val="20"/>
        </w:rPr>
        <w:t>, 2010.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Stallings W., </w:t>
      </w:r>
      <w:r>
        <w:rPr>
          <w:i/>
          <w:sz w:val="20"/>
          <w:szCs w:val="20"/>
        </w:rPr>
        <w:t xml:space="preserve"> Computer Organization and Architecture</w:t>
      </w:r>
      <w:r>
        <w:rPr>
          <w:sz w:val="20"/>
          <w:szCs w:val="20"/>
        </w:rPr>
        <w:t>, 2015.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Nvidia, CUDA C Programming Guide, 2018.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>OpenCL Specification, Khronos Group, 2018.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i/>
          <w:i/>
          <w:sz w:val="20"/>
          <w:szCs w:val="20"/>
        </w:rPr>
      </w:pPr>
      <w:r>
        <w:rPr>
          <w:sz w:val="20"/>
          <w:szCs w:val="20"/>
        </w:rPr>
        <w:t xml:space="preserve">C.A. Navarro et al., </w:t>
      </w:r>
      <w:r>
        <w:rPr>
          <w:i/>
          <w:sz w:val="20"/>
          <w:szCs w:val="20"/>
        </w:rPr>
        <w:t>A Survey on Parallel Computing and its Applications in Data-Parallel Problems Using GPU Architectures, 2014.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i/>
          <w:i/>
          <w:sz w:val="20"/>
          <w:szCs w:val="20"/>
          <w:u w:val="none"/>
        </w:rPr>
      </w:pPr>
      <w:r>
        <w:rPr>
          <w:i/>
          <w:sz w:val="20"/>
          <w:szCs w:val="20"/>
        </w:rPr>
        <w:t>Eijkhout V., Introduction to High Performance Scientific Computing, 2016.</w:t>
      </w:r>
    </w:p>
    <w:p>
      <w:pPr>
        <w:pStyle w:val="LOnormal"/>
        <w:widowControl w:val="false"/>
        <w:spacing w:lineRule="auto" w:line="240"/>
        <w:rPr/>
      </w:pPr>
      <w:r>
        <w:rPr/>
      </w:r>
    </w:p>
    <w:p>
      <w:pPr>
        <w:pStyle w:val="LOnormal"/>
        <w:widowControl w:val="false"/>
        <w:spacing w:lineRule="auto" w:line="240"/>
        <w:rPr/>
      </w:pPr>
      <w:r>
        <w:rPr/>
      </w:r>
    </w:p>
    <w:p>
      <w:pPr>
        <w:pStyle w:val="LOnormal"/>
        <w:widowControl w:val="false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LibreOffice/7.1.4.2$Linux_X86_64 LibreOffice_project/10$Build-2</Application>
  <AppVersion>15.0000</AppVersion>
  <Pages>2</Pages>
  <Words>600</Words>
  <Characters>3399</Characters>
  <CharactersWithSpaces>3947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2021-07-20T13:32:18Z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