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1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Перегудов Александр 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Открыл VirtualBox и начинаю создавать новую виртуальную машину. (рис. fig. 1)</w:t>
      </w:r>
    </w:p>
    <w:bookmarkStart w:id="26" w:name="fig:001"/>
    <w:p>
      <w:pPr>
        <w:pStyle w:val="CaptionedFigure"/>
      </w:pPr>
      <w:r>
        <w:drawing>
          <wp:inline>
            <wp:extent cx="3503595" cy="3157086"/>
            <wp:effectExtent b="0" l="0" r="0" t="0"/>
            <wp:docPr descr="Рис. 1: VirtualBox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315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VirtualBox</w:t>
      </w:r>
    </w:p>
    <w:bookmarkEnd w:id="26"/>
    <w:p>
      <w:pPr>
        <w:pStyle w:val="BodyText"/>
      </w:pPr>
      <w:r>
        <w:t xml:space="preserve">Задаю имя и образ виртуальной машины. (рис. fig. 2)</w:t>
      </w:r>
    </w:p>
    <w:bookmarkStart w:id="30" w:name="fig:002"/>
    <w:p>
      <w:pPr>
        <w:pStyle w:val="CaptionedFigure"/>
      </w:pPr>
      <w:r>
        <w:drawing>
          <wp:inline>
            <wp:extent cx="3733800" cy="2275599"/>
            <wp:effectExtent b="0" l="0" r="0" t="0"/>
            <wp:docPr descr="Рис. 2: Конфигурация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5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</w:t>
      </w:r>
    </w:p>
    <w:bookmarkEnd w:id="30"/>
    <w:p>
      <w:pPr>
        <w:pStyle w:val="BodyText"/>
      </w:pPr>
      <w:r>
        <w:t xml:space="preserve">Задаю выделяюмую память и потоки. (рис. fig. 3)</w:t>
      </w:r>
    </w:p>
    <w:bookmarkStart w:id="34" w:name="fig:003"/>
    <w:p>
      <w:pPr>
        <w:pStyle w:val="CaptionedFigure"/>
      </w:pPr>
      <w:r>
        <w:drawing>
          <wp:inline>
            <wp:extent cx="3733800" cy="2248419"/>
            <wp:effectExtent b="0" l="0" r="0" t="0"/>
            <wp:docPr descr="Рис. 3: Конфигурац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</w:t>
      </w:r>
    </w:p>
    <w:bookmarkEnd w:id="34"/>
    <w:p>
      <w:pPr>
        <w:pStyle w:val="BodyText"/>
      </w:pPr>
      <w:r>
        <w:t xml:space="preserve">Задаю размер жёсткого диска. (рис. fig. 4)</w:t>
      </w:r>
    </w:p>
    <w:bookmarkStart w:id="38" w:name="fig:004"/>
    <w:p>
      <w:pPr>
        <w:pStyle w:val="CaptionedFigure"/>
      </w:pPr>
      <w:r>
        <w:drawing>
          <wp:inline>
            <wp:extent cx="3733800" cy="2234159"/>
            <wp:effectExtent b="0" l="0" r="0" t="0"/>
            <wp:docPr descr="Рис. 4: Конфигурац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4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</w:t>
      </w:r>
    </w:p>
    <w:bookmarkEnd w:id="38"/>
    <w:p>
      <w:pPr>
        <w:pStyle w:val="BodyText"/>
      </w:pPr>
      <w:r>
        <w:t xml:space="preserve">Смотрю итоги конфигурации и заканчиваю первые настройки. (рис. fig. 5)</w:t>
      </w:r>
    </w:p>
    <w:bookmarkStart w:id="42" w:name="fig:005"/>
    <w:p>
      <w:pPr>
        <w:pStyle w:val="CaptionedFigure"/>
      </w:pPr>
      <w:r>
        <w:drawing>
          <wp:inline>
            <wp:extent cx="3733800" cy="2233158"/>
            <wp:effectExtent b="0" l="0" r="0" t="0"/>
            <wp:docPr descr="Рис. 5: Конфигурация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Конфигурация</w:t>
      </w:r>
    </w:p>
    <w:bookmarkEnd w:id="42"/>
    <w:p>
      <w:pPr>
        <w:pStyle w:val="BodyText"/>
      </w:pPr>
      <w:r>
        <w:t xml:space="preserve">Запускаю установщик. (рис. fig. 6, fig. 7)</w:t>
      </w:r>
    </w:p>
    <w:bookmarkStart w:id="46" w:name="fig:006"/>
    <w:p>
      <w:pPr>
        <w:pStyle w:val="CaptionedFigure"/>
      </w:pPr>
      <w:r>
        <w:drawing>
          <wp:inline>
            <wp:extent cx="3733800" cy="3191796"/>
            <wp:effectExtent b="0" l="0" r="0" t="0"/>
            <wp:docPr descr="Рис. 6: Меню выбор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Меню выбора</w:t>
      </w:r>
    </w:p>
    <w:bookmarkEnd w:id="46"/>
    <w:bookmarkStart w:id="50" w:name="fig:007"/>
    <w:p>
      <w:pPr>
        <w:pStyle w:val="CaptionedFigure"/>
      </w:pPr>
      <w:r>
        <w:drawing>
          <wp:inline>
            <wp:extent cx="3733800" cy="4261812"/>
            <wp:effectExtent b="0" l="0" r="0" t="0"/>
            <wp:docPr descr="Рис. 7: Инициализация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1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Инициализация</w:t>
      </w:r>
    </w:p>
    <w:bookmarkEnd w:id="50"/>
    <w:p>
      <w:pPr>
        <w:pStyle w:val="BodyText"/>
      </w:pPr>
      <w:r>
        <w:t xml:space="preserve">Выбираю язык. (рис. fig. 8)</w:t>
      </w:r>
    </w:p>
    <w:bookmarkStart w:id="54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Меню выбора языков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Меню выбора языков</w:t>
      </w:r>
    </w:p>
    <w:bookmarkEnd w:id="54"/>
    <w:p>
      <w:pPr>
        <w:pStyle w:val="BodyText"/>
      </w:pPr>
      <w:r>
        <w:t xml:space="preserve">Добавляю русскую раскладку. (рис. fig. 9)</w:t>
      </w:r>
    </w:p>
    <w:bookmarkStart w:id="58" w:name="fig:009"/>
    <w:p>
      <w:pPr>
        <w:pStyle w:val="CaptionedFigure"/>
      </w:pPr>
      <w:r>
        <w:drawing>
          <wp:inline>
            <wp:extent cx="3733800" cy="4172353"/>
            <wp:effectExtent b="0" l="0" r="0" t="0"/>
            <wp:docPr descr="Рис. 9: Раскладки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Раскладки</w:t>
      </w:r>
    </w:p>
    <w:bookmarkEnd w:id="58"/>
    <w:p>
      <w:pPr>
        <w:pStyle w:val="BodyText"/>
      </w:pPr>
      <w:r>
        <w:t xml:space="preserve">Указал комбинацию для смены раскладки. (рис. fig. 10)</w:t>
      </w:r>
    </w:p>
    <w:bookmarkStart w:id="62" w:name="fig:010"/>
    <w:p>
      <w:pPr>
        <w:pStyle w:val="CaptionedFigure"/>
      </w:pPr>
      <w:r>
        <w:drawing>
          <wp:inline>
            <wp:extent cx="3733800" cy="2881881"/>
            <wp:effectExtent b="0" l="0" r="0" t="0"/>
            <wp:docPr descr="Рис. 10: alt+shift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1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alt+shift</w:t>
      </w:r>
    </w:p>
    <w:bookmarkEnd w:id="62"/>
    <w:p>
      <w:pPr>
        <w:pStyle w:val="BodyText"/>
      </w:pPr>
      <w:r>
        <w:t xml:space="preserve">Выбрал базовое окружение и дополнительное программное обеспечение. (рис. fig. 11)</w:t>
      </w:r>
    </w:p>
    <w:bookmarkStart w:id="66" w:name="fig:011"/>
    <w:p>
      <w:pPr>
        <w:pStyle w:val="CaptionedFigure"/>
      </w:pPr>
      <w:r>
        <w:drawing>
          <wp:inline>
            <wp:extent cx="3733800" cy="2467503"/>
            <wp:effectExtent b="0" l="0" r="0" t="0"/>
            <wp:docPr descr="Рис. 11: Выбор программ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Выбор программ</w:t>
      </w:r>
    </w:p>
    <w:bookmarkEnd w:id="66"/>
    <w:p>
      <w:pPr>
        <w:pStyle w:val="BodyText"/>
      </w:pPr>
      <w:r>
        <w:t xml:space="preserve">Отключил KDUMP. (рис. fig. 12)</w:t>
      </w:r>
    </w:p>
    <w:bookmarkStart w:id="70" w:name="fig:012"/>
    <w:p>
      <w:pPr>
        <w:pStyle w:val="CaptionedFigure"/>
      </w:pPr>
      <w:r>
        <w:drawing>
          <wp:inline>
            <wp:extent cx="2579570" cy="1665170"/>
            <wp:effectExtent b="0" l="0" r="0" t="0"/>
            <wp:docPr descr="Рис. 12: KDUMP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570" cy="166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KDUMP</w:t>
      </w:r>
    </w:p>
    <w:bookmarkEnd w:id="70"/>
    <w:p>
      <w:pPr>
        <w:pStyle w:val="BodyText"/>
      </w:pPr>
      <w:r>
        <w:t xml:space="preserve">Сменил имя хоста. (рис. fig. 13)</w:t>
      </w:r>
    </w:p>
    <w:bookmarkStart w:id="74" w:name="fig:013"/>
    <w:p>
      <w:pPr>
        <w:pStyle w:val="CaptionedFigure"/>
      </w:pPr>
      <w:r>
        <w:drawing>
          <wp:inline>
            <wp:extent cx="3733800" cy="3571269"/>
            <wp:effectExtent b="0" l="0" r="0" t="0"/>
            <wp:docPr descr="Рис. 13: Имя хоста: avperegudov.localdomain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1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Имя хоста: avperegudov.localdomain</w:t>
      </w:r>
    </w:p>
    <w:bookmarkEnd w:id="74"/>
    <w:p>
      <w:pPr>
        <w:pStyle w:val="BodyText"/>
      </w:pPr>
      <w:r>
        <w:t xml:space="preserve">Поставил пароль для root аккаунта. (рис. fig. 14)</w:t>
      </w:r>
    </w:p>
    <w:bookmarkStart w:id="78" w:name="fig:014"/>
    <w:p>
      <w:pPr>
        <w:pStyle w:val="CaptionedFigure"/>
      </w:pPr>
      <w:r>
        <w:drawing>
          <wp:inline>
            <wp:extent cx="3733800" cy="1766945"/>
            <wp:effectExtent b="0" l="0" r="0" t="0"/>
            <wp:docPr descr="Рис. 14: Пароль для root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Пароль для root</w:t>
      </w:r>
    </w:p>
    <w:bookmarkEnd w:id="78"/>
    <w:p>
      <w:pPr>
        <w:pStyle w:val="BodyText"/>
      </w:pPr>
      <w:r>
        <w:t xml:space="preserve">Создал учётную запись и сделал её администратором. (рис. fig. 15)</w:t>
      </w:r>
    </w:p>
    <w:bookmarkStart w:id="82" w:name="fig:015"/>
    <w:p>
      <w:pPr>
        <w:pStyle w:val="CaptionedFigure"/>
      </w:pPr>
      <w:r>
        <w:drawing>
          <wp:inline>
            <wp:extent cx="3733800" cy="2395748"/>
            <wp:effectExtent b="0" l="0" r="0" t="0"/>
            <wp:docPr descr="Рис. 15: Учётная запись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5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Учётная запись</w:t>
      </w:r>
    </w:p>
    <w:bookmarkEnd w:id="82"/>
    <w:p>
      <w:pPr>
        <w:pStyle w:val="BodyText"/>
      </w:pPr>
      <w:r>
        <w:t xml:space="preserve">Начал установку. (рис. fig. 16)</w:t>
      </w:r>
    </w:p>
    <w:bookmarkStart w:id="86" w:name="fig:016"/>
    <w:p>
      <w:pPr>
        <w:pStyle w:val="CaptionedFigure"/>
      </w:pPr>
      <w:r>
        <w:drawing>
          <wp:inline>
            <wp:extent cx="3733800" cy="1257108"/>
            <wp:effectExtent b="0" l="0" r="0" t="0"/>
            <wp:docPr descr="Рис. 16: Установк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</w:t>
      </w:r>
    </w:p>
    <w:bookmarkEnd w:id="86"/>
    <w:p>
      <w:pPr>
        <w:pStyle w:val="BodyText"/>
      </w:pPr>
      <w:r>
        <w:t xml:space="preserve">Закончил установку и перезагрузил виртуальную машину. (рис. fig. 17)</w:t>
      </w:r>
    </w:p>
    <w:bookmarkStart w:id="90" w:name="fig:017"/>
    <w:p>
      <w:pPr>
        <w:pStyle w:val="CaptionedFigure"/>
      </w:pPr>
      <w:r>
        <w:drawing>
          <wp:inline>
            <wp:extent cx="3733800" cy="1447800"/>
            <wp:effectExtent b="0" l="0" r="0" t="0"/>
            <wp:docPr descr="Рис. 17: Установка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</w:t>
      </w:r>
    </w:p>
    <w:bookmarkEnd w:id="90"/>
    <w:p>
      <w:pPr>
        <w:pStyle w:val="BodyText"/>
      </w:pPr>
      <w:r>
        <w:t xml:space="preserve">Вошёл под своей учётной записи. (рис. fig. 18)</w:t>
      </w:r>
    </w:p>
    <w:bookmarkStart w:id="94" w:name="fig:018"/>
    <w:p>
      <w:pPr>
        <w:pStyle w:val="CaptionedFigure"/>
      </w:pPr>
      <w:r>
        <w:drawing>
          <wp:inline>
            <wp:extent cx="2050181" cy="1443789"/>
            <wp:effectExtent b="0" l="0" r="0" t="0"/>
            <wp:docPr descr="Рис. 18: Вход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181" cy="144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Вход</w:t>
      </w:r>
    </w:p>
    <w:bookmarkEnd w:id="94"/>
    <w:p>
      <w:pPr>
        <w:pStyle w:val="BodyText"/>
      </w:pPr>
      <w:r>
        <w:t xml:space="preserve">Подключил образ диска дополнений гостевой ОС. (рис. fig. 19)</w:t>
      </w:r>
    </w:p>
    <w:bookmarkStart w:id="98" w:name="fig:019"/>
    <w:p>
      <w:pPr>
        <w:pStyle w:val="CaptionedFigure"/>
      </w:pPr>
      <w:r>
        <w:drawing>
          <wp:inline>
            <wp:extent cx="2377440" cy="2348564"/>
            <wp:effectExtent b="0" l="0" r="0" t="0"/>
            <wp:docPr descr="Рис. 19: Меню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4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Меню</w:t>
      </w:r>
    </w:p>
    <w:bookmarkEnd w:id="98"/>
    <w:p>
      <w:pPr>
        <w:pStyle w:val="BodyText"/>
      </w:pPr>
      <w:r>
        <w:t xml:space="preserve">Загрузил дополнения. (рис. fig. 20, fig. 21)</w:t>
      </w:r>
    </w:p>
    <w:bookmarkStart w:id="102" w:name="fig:020"/>
    <w:p>
      <w:pPr>
        <w:pStyle w:val="CaptionedFigure"/>
      </w:pPr>
      <w:r>
        <w:drawing>
          <wp:inline>
            <wp:extent cx="3733800" cy="1118212"/>
            <wp:effectExtent b="0" l="0" r="0" t="0"/>
            <wp:docPr descr="Рис. 20: Начало загрузки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Начало загрузки</w:t>
      </w:r>
    </w:p>
    <w:bookmarkEnd w:id="102"/>
    <w:bookmarkStart w:id="106" w:name="fig:021"/>
    <w:p>
      <w:pPr>
        <w:pStyle w:val="CaptionedFigure"/>
      </w:pPr>
      <w:r>
        <w:drawing>
          <wp:inline>
            <wp:extent cx="3733800" cy="2634623"/>
            <wp:effectExtent b="0" l="0" r="0" t="0"/>
            <wp:docPr descr="Рис. 21: Конец загрузки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Конец загрузки</w:t>
      </w:r>
    </w:p>
    <w:bookmarkEnd w:id="106"/>
    <w:p>
      <w:pPr>
        <w:pStyle w:val="BodyText"/>
      </w:pPr>
      <w:r>
        <w:t xml:space="preserve">выполняю команду dmesg. (рис. fig. 22, fig. 23)</w:t>
      </w:r>
    </w:p>
    <w:bookmarkStart w:id="110" w:name="fig:022"/>
    <w:p>
      <w:pPr>
        <w:pStyle w:val="CaptionedFigure"/>
      </w:pPr>
      <w:r>
        <w:drawing>
          <wp:inline>
            <wp:extent cx="2810576" cy="924025"/>
            <wp:effectExtent b="0" l="0" r="0" t="0"/>
            <wp:docPr descr="Рис. 22: Команда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76" cy="92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</w:t>
      </w:r>
    </w:p>
    <w:bookmarkEnd w:id="110"/>
    <w:bookmarkStart w:id="114" w:name="fig:023"/>
    <w:p>
      <w:pPr>
        <w:pStyle w:val="CaptionedFigure"/>
      </w:pPr>
      <w:r>
        <w:drawing>
          <wp:inline>
            <wp:extent cx="3733800" cy="2334453"/>
            <wp:effectExtent b="0" l="0" r="0" t="0"/>
            <wp:docPr descr="Рис. 23: Часть вывода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Часть вывода</w:t>
      </w:r>
    </w:p>
    <w:bookmarkEnd w:id="114"/>
    <w:p>
      <w:pPr>
        <w:pStyle w:val="BodyText"/>
      </w:pPr>
      <w:r>
        <w:t xml:space="preserve">Получаю некоторую информацию с помощью dmesg | grep -i</w:t>
      </w:r>
      <w:r>
        <w:t xml:space="preserve"> </w:t>
      </w:r>
      <w:r>
        <w:t xml:space="preserve">“</w:t>
      </w:r>
      <w:r>
        <w:t xml:space="preserve">”</w:t>
      </w:r>
      <w:r>
        <w:t xml:space="preserve">. (рис. fig. 24)</w:t>
      </w:r>
    </w:p>
    <w:bookmarkStart w:id="118" w:name="fig:024"/>
    <w:p>
      <w:pPr>
        <w:pStyle w:val="CaptionedFigure"/>
      </w:pPr>
      <w:r>
        <w:drawing>
          <wp:inline>
            <wp:extent cx="3733800" cy="387298"/>
            <wp:effectExtent b="0" l="0" r="0" t="0"/>
            <wp:docPr descr="Рис. 24: Версия ядра Linux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Версия ядра Linux</w:t>
      </w:r>
    </w:p>
    <w:bookmarkEnd w:id="118"/>
    <w:bookmarkStart w:id="122" w:name="fig:025"/>
    <w:p>
      <w:pPr>
        <w:pStyle w:val="CaptionedFigure"/>
      </w:pPr>
      <w:r>
        <w:drawing>
          <wp:inline>
            <wp:extent cx="3733800" cy="407166"/>
            <wp:effectExtent b="0" l="0" r="0" t="0"/>
            <wp:docPr descr="Рис. 25: Частота процессора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Частота процессора</w:t>
      </w:r>
    </w:p>
    <w:bookmarkEnd w:id="122"/>
    <w:bookmarkStart w:id="126" w:name="fig:026"/>
    <w:p>
      <w:pPr>
        <w:pStyle w:val="CaptionedFigure"/>
      </w:pPr>
      <w:r>
        <w:drawing>
          <wp:inline>
            <wp:extent cx="3733800" cy="383734"/>
            <wp:effectExtent b="0" l="0" r="0" t="0"/>
            <wp:docPr descr="Рис. 26: Модель процессора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Модель процессора</w:t>
      </w:r>
    </w:p>
    <w:bookmarkEnd w:id="126"/>
    <w:bookmarkStart w:id="130" w:name="fig:027"/>
    <w:p>
      <w:pPr>
        <w:pStyle w:val="CaptionedFigure"/>
      </w:pPr>
      <w:r>
        <w:drawing>
          <wp:inline>
            <wp:extent cx="3733800" cy="220066"/>
            <wp:effectExtent b="0" l="0" r="0" t="0"/>
            <wp:docPr descr="Рис. 27: Тип обнаруженного гипервизора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Тип обнаруженного гипервизора</w:t>
      </w:r>
    </w:p>
    <w:bookmarkEnd w:id="130"/>
    <w:bookmarkStart w:id="134" w:name="fig:028"/>
    <w:p>
      <w:pPr>
        <w:pStyle w:val="CaptionedFigure"/>
      </w:pPr>
      <w:r>
        <w:drawing>
          <wp:inline>
            <wp:extent cx="3733800" cy="2045745"/>
            <wp:effectExtent b="0" l="0" r="0" t="0"/>
            <wp:docPr descr="Рис. 28: Последовательность монтирования файловых систем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Последовательность монтирования файловых систем</w:t>
      </w:r>
    </w:p>
    <w:bookmarkEnd w:id="134"/>
    <w:bookmarkStart w:id="138" w:name="fig:029"/>
    <w:p>
      <w:pPr>
        <w:pStyle w:val="CaptionedFigure"/>
      </w:pPr>
      <w:r>
        <w:drawing>
          <wp:inline>
            <wp:extent cx="3733800" cy="709179"/>
            <wp:effectExtent b="0" l="0" r="0" t="0"/>
            <wp:docPr descr="Рис. 29: Тип файловой системы корневого раздела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Тип файловой системы корневого раздела</w:t>
      </w:r>
    </w:p>
    <w:bookmarkEnd w:id="138"/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лаборатной работе были приобретены практические навыки по установке операционной системы и настройки минимально необходимых сервисов на виртуальной машине.</w:t>
      </w:r>
    </w:p>
    <w:bookmarkEnd w:id="140"/>
    <w:bookmarkStart w:id="141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Имя пользователя</w:t>
      </w:r>
      <w:r>
        <w:t xml:space="preserve"> </w:t>
      </w:r>
      <w:r>
        <w:t xml:space="preserve">UID (уникальный идентификатор)</w:t>
      </w:r>
      <w:r>
        <w:t xml:space="preserve"> </w:t>
      </w:r>
      <w:r>
        <w:t xml:space="preserve">GID (идентификатор группы)</w:t>
      </w:r>
      <w:r>
        <w:t xml:space="preserve"> </w:t>
      </w:r>
      <w:r>
        <w:t xml:space="preserve">Домашний каталог</w:t>
      </w:r>
    </w:p>
    <w:p>
      <w:pPr>
        <w:pStyle w:val="Compact"/>
        <w:numPr>
          <w:ilvl w:val="0"/>
          <w:numId w:val="1002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для получения справки по команде :</w:t>
      </w:r>
      <w:r>
        <w:t xml:space="preserve"> </w:t>
      </w:r>
      <w:r>
        <w:t xml:space="preserve">man</w:t>
      </w:r>
      <w:r>
        <w:t xml:space="preserve"> </w:t>
      </w:r>
      <w:r>
        <w:t xml:space="preserve"> </w:t>
      </w:r>
      <w:r>
        <w:t xml:space="preserve">– полное руководство</w:t>
      </w:r>
      <w:r>
        <w:t xml:space="preserve"> </w:t>
      </w:r>
      <w:r>
        <w:t xml:space="preserve"> </w:t>
      </w:r>
      <w:r>
        <w:t xml:space="preserve">–help – краткая справка</w:t>
      </w:r>
    </w:p>
    <w:p>
      <w:pPr>
        <w:pStyle w:val="BodyText"/>
      </w:pPr>
      <w:r>
        <w:t xml:space="preserve">для перемещения по файловой системе :</w:t>
      </w:r>
      <w:r>
        <w:t xml:space="preserve"> </w:t>
      </w:r>
      <w:r>
        <w:t xml:space="preserve">cd</w:t>
      </w:r>
      <w:r>
        <w:t xml:space="preserve"> </w:t>
      </w:r>
      <w:r>
        <w:t xml:space="preserve"> </w:t>
      </w:r>
      <w:r>
        <w:t xml:space="preserve">– смена директории</w:t>
      </w:r>
      <w:r>
        <w:t xml:space="preserve"> </w:t>
      </w:r>
      <w:r>
        <w:t xml:space="preserve">cd .. – на уровень выше</w:t>
      </w:r>
    </w:p>
    <w:p>
      <w:pPr>
        <w:pStyle w:val="BodyText"/>
      </w:pPr>
      <w:r>
        <w:t xml:space="preserve">для просмотра содержимого каталога :</w:t>
      </w:r>
      <w:r>
        <w:t xml:space="preserve"> </w:t>
      </w:r>
      <w:r>
        <w:t xml:space="preserve">ls – список файлов</w:t>
      </w:r>
      <w:r>
        <w:t xml:space="preserve"> </w:t>
      </w:r>
      <w:r>
        <w:t xml:space="preserve">ls -la – подробный список с правами</w:t>
      </w:r>
    </w:p>
    <w:p>
      <w:pPr>
        <w:pStyle w:val="BodyText"/>
      </w:pPr>
      <w:r>
        <w:t xml:space="preserve">для определения объёма каталога :</w:t>
      </w:r>
      <w:r>
        <w:t xml:space="preserve"> </w:t>
      </w:r>
      <w:r>
        <w:t xml:space="preserve">du -sh</w:t>
      </w:r>
      <w:r>
        <w:t xml:space="preserve"> </w:t>
      </w:r>
      <w:r>
        <w:t xml:space="preserve"> </w:t>
      </w:r>
      <w:r>
        <w:t xml:space="preserve">– размер каталога</w:t>
      </w:r>
    </w:p>
    <w:p>
      <w:pPr>
        <w:pStyle w:val="BodyText"/>
      </w:pPr>
      <w:r>
        <w:t xml:space="preserve">для создания / удаления каталогов / файлов :</w:t>
      </w:r>
      <w:r>
        <w:t xml:space="preserve"> </w:t>
      </w:r>
      <w:r>
        <w:t xml:space="preserve">mkdir</w:t>
      </w:r>
      <w:r>
        <w:t xml:space="preserve"> </w:t>
      </w:r>
      <w:r>
        <w:t xml:space="preserve"> </w:t>
      </w:r>
      <w:r>
        <w:t xml:space="preserve">– создать каталог</w:t>
      </w:r>
      <w:r>
        <w:t xml:space="preserve"> </w:t>
      </w:r>
      <w:r>
        <w:t xml:space="preserve">rmdir</w:t>
      </w:r>
      <w:r>
        <w:t xml:space="preserve"> </w:t>
      </w:r>
      <w:r>
        <w:t xml:space="preserve"> </w:t>
      </w:r>
      <w:r>
        <w:t xml:space="preserve">– удалить пустой каталог</w:t>
      </w:r>
      <w:r>
        <w:t xml:space="preserve"> </w:t>
      </w:r>
      <w:r>
        <w:t xml:space="preserve">rm -r</w:t>
      </w:r>
      <w:r>
        <w:t xml:space="preserve"> </w:t>
      </w:r>
      <w:r>
        <w:t xml:space="preserve"> </w:t>
      </w:r>
      <w:r>
        <w:t xml:space="preserve">– удалить каталог с файлами</w:t>
      </w:r>
      <w:r>
        <w:t xml:space="preserve"> </w:t>
      </w:r>
      <w:r>
        <w:t xml:space="preserve">touch</w:t>
      </w:r>
      <w:r>
        <w:t xml:space="preserve"> </w:t>
      </w:r>
      <w:r>
        <w:t xml:space="preserve"> </w:t>
      </w:r>
      <w:r>
        <w:t xml:space="preserve">– создать файл</w:t>
      </w:r>
      <w:r>
        <w:t xml:space="preserve"> </w:t>
      </w:r>
      <w:r>
        <w:t xml:space="preserve">rm</w:t>
      </w:r>
      <w:r>
        <w:t xml:space="preserve"> </w:t>
      </w:r>
      <w:r>
        <w:t xml:space="preserve"> </w:t>
      </w:r>
      <w:r>
        <w:t xml:space="preserve">– удалить файл</w:t>
      </w:r>
    </w:p>
    <w:p>
      <w:pPr>
        <w:pStyle w:val="BodyText"/>
      </w:pPr>
      <w:r>
        <w:t xml:space="preserve">Задание прав на файл / каталог:</w:t>
      </w:r>
      <w:r>
        <w:t xml:space="preserve"> </w:t>
      </w:r>
      <w:r>
        <w:t xml:space="preserve">chmod 755</w:t>
      </w:r>
      <w:r>
        <w:t xml:space="preserve"> </w:t>
      </w:r>
      <w:r>
        <w:t xml:space="preserve"> </w:t>
      </w:r>
      <w:r>
        <w:t xml:space="preserve">– задать права</w:t>
      </w:r>
      <w:r>
        <w:t xml:space="preserve"> </w:t>
      </w:r>
      <w:r>
        <w:t xml:space="preserve">chown user:group</w:t>
      </w:r>
      <w:r>
        <w:t xml:space="preserve"> </w:t>
      </w:r>
      <w:r>
        <w:t xml:space="preserve"> </w:t>
      </w:r>
      <w:r>
        <w:t xml:space="preserve">– сменить владельца</w:t>
      </w:r>
    </w:p>
    <w:p>
      <w:pPr>
        <w:pStyle w:val="BodyText"/>
      </w:pPr>
      <w:r>
        <w:t xml:space="preserve">Просмотр истории команд:</w:t>
      </w:r>
      <w:r>
        <w:t xml:space="preserve"> </w:t>
      </w:r>
      <w:r>
        <w:t xml:space="preserve">history – список команд</w:t>
      </w:r>
    </w:p>
    <w:p>
      <w:pPr>
        <w:pStyle w:val="Compact"/>
        <w:numPr>
          <w:ilvl w:val="0"/>
          <w:numId w:val="1003"/>
        </w:numPr>
      </w:pPr>
      <w:r>
        <w:t xml:space="preserve">Файловая система – структура для хранения и организации данных на носителе.</w:t>
      </w:r>
      <w:r>
        <w:t xml:space="preserve"> </w:t>
      </w:r>
      <w:r>
        <w:t xml:space="preserve">Примеры:</w:t>
      </w:r>
    </w:p>
    <w:p>
      <w:pPr>
        <w:pStyle w:val="FirstParagraph"/>
      </w:pPr>
      <w:r>
        <w:t xml:space="preserve">ext4 – стандартная для Linux, журналируемая</w:t>
      </w:r>
      <w:r>
        <w:t xml:space="preserve"> </w:t>
      </w:r>
      <w:r>
        <w:t xml:space="preserve">NTFS – основная для Windows, поддерживает ACL и сжатие</w:t>
      </w:r>
      <w:r>
        <w:t xml:space="preserve"> </w:t>
      </w:r>
      <w:r>
        <w:t xml:space="preserve">FAT32 – кроссплатформенная, но без поддержки больших файлов</w:t>
      </w:r>
      <w:r>
        <w:t xml:space="preserve"> </w:t>
      </w:r>
      <w:r>
        <w:t xml:space="preserve">XFS – высокопроизводительная, для больших данных</w:t>
      </w:r>
    </w:p>
    <w:p>
      <w:pPr>
        <w:numPr>
          <w:ilvl w:val="0"/>
          <w:numId w:val="1004"/>
        </w:numPr>
      </w:pPr>
      <w:r>
        <w:t xml:space="preserve">Как посмотреть, какие файловые системы подмонтированы?</w:t>
      </w:r>
      <w:r>
        <w:t xml:space="preserve"> </w:t>
      </w:r>
      <w:r>
        <w:t xml:space="preserve">mount – список смонтированных файловых систем</w:t>
      </w:r>
      <w:r>
        <w:t xml:space="preserve"> </w:t>
      </w:r>
      <w:r>
        <w:t xml:space="preserve">df -T – с типом файловых систем</w:t>
      </w:r>
      <w:r>
        <w:t xml:space="preserve"> </w:t>
      </w:r>
      <w:r>
        <w:t xml:space="preserve">lsblk -f – список устройств и их файловых систем</w:t>
      </w:r>
    </w:p>
    <w:p>
      <w:pPr>
        <w:numPr>
          <w:ilvl w:val="0"/>
          <w:numId w:val="1004"/>
        </w:numPr>
      </w:pPr>
      <w:r>
        <w:t xml:space="preserve">Как удалить зависший процесс?</w:t>
      </w:r>
      <w:r>
        <w:t xml:space="preserve"> </w:t>
      </w:r>
      <w:r>
        <w:t xml:space="preserve">kill</w:t>
      </w:r>
      <w:r>
        <w:t xml:space="preserve"> </w:t>
      </w:r>
      <w:r>
        <w:t xml:space="preserve"> </w:t>
      </w:r>
      <w:r>
        <w:t xml:space="preserve">– мягкое завершение</w:t>
      </w:r>
      <w:r>
        <w:t xml:space="preserve"> </w:t>
      </w:r>
      <w:r>
        <w:t xml:space="preserve">kill -9</w:t>
      </w:r>
      <w:r>
        <w:t xml:space="preserve"> </w:t>
      </w:r>
      <w:r>
        <w:t xml:space="preserve"> </w:t>
      </w:r>
      <w:r>
        <w:t xml:space="preserve">– принудительное завершение</w:t>
      </w:r>
      <w:r>
        <w:t xml:space="preserve"> </w:t>
      </w:r>
      <w:r>
        <w:t xml:space="preserve">pkill</w:t>
      </w:r>
      <w:r>
        <w:t xml:space="preserve"> </w:t>
      </w:r>
      <w:r>
        <w:t xml:space="preserve"> </w:t>
      </w:r>
      <w:r>
        <w:t xml:space="preserve">– убить по имени</w:t>
      </w:r>
      <w:r>
        <w:t xml:space="preserve"> </w:t>
      </w:r>
      <w:r>
        <w:t xml:space="preserve">htop или top – интерактивное управление процессами</w:t>
      </w:r>
    </w:p>
    <w:bookmarkEnd w:id="141"/>
    <w:bookmarkStart w:id="143" w:name="список-литературы"/>
    <w:p>
      <w:pPr>
        <w:pStyle w:val="Heading1"/>
      </w:pPr>
      <w:r>
        <w:t xml:space="preserve">Список литературы</w:t>
      </w:r>
    </w:p>
    <w:bookmarkStart w:id="142" w:name="refs"/>
    <w:bookmarkEnd w:id="142"/>
    <w:bookmarkEnd w:id="14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Перегудов Александр Вадимович</dc:creator>
  <dc:language>ru-RU</dc:language>
  <cp:keywords/>
  <dcterms:created xsi:type="dcterms:W3CDTF">2025-02-22T16:03:47Z</dcterms:created>
  <dcterms:modified xsi:type="dcterms:W3CDTF">2025-02-22T16:03:47Z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